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4F917" w14:textId="77777777" w:rsidR="008F7FAD" w:rsidRPr="00B73F28" w:rsidRDefault="008F7FAD" w:rsidP="008F7FAD">
      <w:pPr>
        <w:spacing w:after="60"/>
        <w:ind w:left="720"/>
        <w:jc w:val="right"/>
        <w:rPr>
          <w:i/>
        </w:rPr>
      </w:pPr>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408"/>
        <w:gridCol w:w="4045"/>
        <w:gridCol w:w="1828"/>
        <w:gridCol w:w="1540"/>
      </w:tblGrid>
      <w:tr w:rsidR="00A1250E" w:rsidRPr="00F70053" w14:paraId="4B257B52" w14:textId="79A336C1" w:rsidTr="00A1250E">
        <w:tc>
          <w:tcPr>
            <w:tcW w:w="1807" w:type="dxa"/>
            <w:shd w:val="clear" w:color="auto" w:fill="auto"/>
            <w:vAlign w:val="center"/>
          </w:tcPr>
          <w:p w14:paraId="1E24CEAF" w14:textId="77777777" w:rsidR="00A1250E" w:rsidRPr="00F70053" w:rsidRDefault="00A1250E"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4453" w:type="dxa"/>
            <w:gridSpan w:val="2"/>
            <w:shd w:val="clear" w:color="auto" w:fill="auto"/>
            <w:vAlign w:val="center"/>
          </w:tcPr>
          <w:p w14:paraId="0519D5A3" w14:textId="31132210" w:rsidR="00A1250E" w:rsidRPr="00F70053" w:rsidRDefault="00030847" w:rsidP="00945AFC">
            <w:pPr>
              <w:spacing w:before="60" w:after="60"/>
              <w:jc w:val="both"/>
              <w:rPr>
                <w:b/>
                <w:sz w:val="28"/>
                <w:szCs w:val="28"/>
              </w:rPr>
            </w:pPr>
            <w:r>
              <w:rPr>
                <w:b/>
                <w:color w:val="FF0000"/>
                <w:sz w:val="28"/>
                <w:szCs w:val="28"/>
              </w:rPr>
              <w:t>SIMONA SOVERINI</w:t>
            </w:r>
          </w:p>
        </w:tc>
        <w:tc>
          <w:tcPr>
            <w:tcW w:w="1828" w:type="dxa"/>
          </w:tcPr>
          <w:p w14:paraId="0C276BAC" w14:textId="77777777" w:rsidR="00A1250E" w:rsidRPr="005B08A9" w:rsidRDefault="00A1250E" w:rsidP="00945AFC">
            <w:pPr>
              <w:spacing w:before="60" w:after="60"/>
              <w:jc w:val="both"/>
              <w:rPr>
                <w:b/>
                <w:color w:val="FF0000"/>
                <w:sz w:val="28"/>
                <w:szCs w:val="28"/>
              </w:rPr>
            </w:pPr>
          </w:p>
        </w:tc>
        <w:tc>
          <w:tcPr>
            <w:tcW w:w="1540" w:type="dxa"/>
          </w:tcPr>
          <w:p w14:paraId="05788B85" w14:textId="77777777" w:rsidR="00A1250E" w:rsidRPr="005B08A9" w:rsidRDefault="00A1250E" w:rsidP="00945AFC">
            <w:pPr>
              <w:spacing w:before="60" w:after="60"/>
              <w:jc w:val="both"/>
              <w:rPr>
                <w:b/>
                <w:color w:val="FF0000"/>
                <w:sz w:val="28"/>
                <w:szCs w:val="28"/>
              </w:rPr>
            </w:pPr>
          </w:p>
        </w:tc>
      </w:tr>
      <w:tr w:rsidR="00A1250E" w:rsidRPr="00F70053" w14:paraId="5C550576" w14:textId="7C8D151A" w:rsidTr="009C20FB">
        <w:tc>
          <w:tcPr>
            <w:tcW w:w="9628" w:type="dxa"/>
            <w:gridSpan w:val="5"/>
            <w:shd w:val="clear" w:color="auto" w:fill="auto"/>
            <w:vAlign w:val="center"/>
          </w:tcPr>
          <w:p w14:paraId="4B6F7198" w14:textId="7B01CC07" w:rsidR="00A1250E" w:rsidRPr="00D52083" w:rsidRDefault="00A1250E" w:rsidP="00945AFC">
            <w:pPr>
              <w:spacing w:before="60" w:after="60"/>
              <w:jc w:val="both"/>
              <w:rPr>
                <w:i/>
              </w:rPr>
            </w:pPr>
            <w:r w:rsidRPr="002E1FF5">
              <w:rPr>
                <w:b/>
                <w:sz w:val="28"/>
                <w:szCs w:val="28"/>
              </w:rPr>
              <w:t xml:space="preserve">PRODUZIONE SCIENTIFICA </w:t>
            </w:r>
            <w:r>
              <w:rPr>
                <w:b/>
                <w:sz w:val="28"/>
                <w:szCs w:val="28"/>
              </w:rPr>
              <w:t>TUTOR</w:t>
            </w:r>
            <w:r w:rsidRPr="002E1FF5">
              <w:rPr>
                <w:b/>
                <w:sz w:val="28"/>
                <w:szCs w:val="28"/>
              </w:rPr>
              <w:t xml:space="preserve"> </w:t>
            </w:r>
            <w:r w:rsidRPr="0083559D">
              <w:rPr>
                <w:b/>
                <w:sz w:val="28"/>
                <w:szCs w:val="28"/>
                <w:u w:val="single"/>
              </w:rPr>
              <w:t>NELL’ULTIMO QUADRIENNIO</w:t>
            </w:r>
          </w:p>
        </w:tc>
      </w:tr>
      <w:tr w:rsidR="00A1250E" w:rsidRPr="00F70053" w14:paraId="4D2BF1E9" w14:textId="0D65A478" w:rsidTr="00A1250E">
        <w:tc>
          <w:tcPr>
            <w:tcW w:w="2215" w:type="dxa"/>
            <w:gridSpan w:val="2"/>
            <w:shd w:val="clear" w:color="auto" w:fill="auto"/>
            <w:vAlign w:val="center"/>
          </w:tcPr>
          <w:p w14:paraId="44BF5FED" w14:textId="30518579" w:rsidR="00A1250E" w:rsidRPr="0021533C" w:rsidRDefault="00A1250E" w:rsidP="00945AFC">
            <w:pPr>
              <w:spacing w:before="60" w:after="60"/>
              <w:jc w:val="both"/>
              <w:rPr>
                <w:sz w:val="28"/>
                <w:szCs w:val="28"/>
              </w:rPr>
            </w:pPr>
          </w:p>
        </w:tc>
        <w:tc>
          <w:tcPr>
            <w:tcW w:w="4045" w:type="dxa"/>
            <w:shd w:val="clear" w:color="auto" w:fill="auto"/>
            <w:vAlign w:val="center"/>
          </w:tcPr>
          <w:p w14:paraId="7CCFDBB0" w14:textId="3AE2F227" w:rsidR="00A1250E" w:rsidRPr="0021533C" w:rsidRDefault="003734D3" w:rsidP="00945AFC">
            <w:pPr>
              <w:spacing w:before="60" w:after="60"/>
              <w:jc w:val="both"/>
              <w:rPr>
                <w:sz w:val="28"/>
                <w:szCs w:val="28"/>
              </w:rPr>
            </w:pPr>
            <w:r>
              <w:rPr>
                <w:sz w:val="28"/>
                <w:szCs w:val="28"/>
              </w:rPr>
              <w:t>ARTICOLO (autori, titolo, rivista, anno)</w:t>
            </w:r>
          </w:p>
        </w:tc>
        <w:tc>
          <w:tcPr>
            <w:tcW w:w="1828" w:type="dxa"/>
          </w:tcPr>
          <w:p w14:paraId="5757F3BD" w14:textId="0F3CCED4" w:rsidR="00A1250E" w:rsidRDefault="00A1250E" w:rsidP="00945AFC">
            <w:pPr>
              <w:spacing w:before="60" w:after="60"/>
              <w:jc w:val="both"/>
              <w:rPr>
                <w:sz w:val="28"/>
                <w:szCs w:val="28"/>
              </w:rPr>
            </w:pPr>
            <w:r>
              <w:rPr>
                <w:sz w:val="28"/>
                <w:szCs w:val="28"/>
              </w:rPr>
              <w:t>INDICE UNICO</w:t>
            </w:r>
          </w:p>
        </w:tc>
        <w:tc>
          <w:tcPr>
            <w:tcW w:w="1540" w:type="dxa"/>
          </w:tcPr>
          <w:p w14:paraId="0F6357AE" w14:textId="041ABFE8" w:rsidR="00A1250E" w:rsidRDefault="00A1250E" w:rsidP="00945AFC">
            <w:pPr>
              <w:spacing w:before="60" w:after="60"/>
              <w:jc w:val="both"/>
              <w:rPr>
                <w:sz w:val="28"/>
                <w:szCs w:val="28"/>
              </w:rPr>
            </w:pPr>
            <w:r w:rsidRPr="00D52083">
              <w:rPr>
                <w:i/>
              </w:rPr>
              <w:t>Punti</w:t>
            </w:r>
          </w:p>
        </w:tc>
      </w:tr>
      <w:tr w:rsidR="00A1250E" w:rsidRPr="00F70053" w14:paraId="6F909ECE" w14:textId="712757A5" w:rsidTr="003734D3">
        <w:trPr>
          <w:trHeight w:val="4137"/>
        </w:trPr>
        <w:tc>
          <w:tcPr>
            <w:tcW w:w="2215" w:type="dxa"/>
            <w:gridSpan w:val="2"/>
            <w:vMerge w:val="restart"/>
            <w:shd w:val="clear" w:color="auto" w:fill="auto"/>
            <w:vAlign w:val="center"/>
          </w:tcPr>
          <w:p w14:paraId="29EC64F7" w14:textId="189FED73" w:rsidR="00A1250E" w:rsidRPr="0021533C" w:rsidRDefault="00A1250E" w:rsidP="00945AFC">
            <w:pPr>
              <w:spacing w:before="60" w:after="60"/>
              <w:jc w:val="both"/>
              <w:rPr>
                <w:sz w:val="28"/>
                <w:szCs w:val="28"/>
              </w:rPr>
            </w:pPr>
            <w:r>
              <w:rPr>
                <w:b/>
                <w:sz w:val="28"/>
                <w:szCs w:val="28"/>
              </w:rPr>
              <w:t>3</w:t>
            </w:r>
            <w:r>
              <w:rPr>
                <w:sz w:val="28"/>
                <w:szCs w:val="28"/>
              </w:rPr>
              <w:t xml:space="preserve"> lavori in </w:t>
            </w:r>
            <w:proofErr w:type="spellStart"/>
            <w:r>
              <w:rPr>
                <w:sz w:val="28"/>
                <w:szCs w:val="28"/>
              </w:rPr>
              <w:t>extenso</w:t>
            </w:r>
            <w:proofErr w:type="spellEnd"/>
            <w:r>
              <w:rPr>
                <w:sz w:val="28"/>
                <w:szCs w:val="28"/>
              </w:rPr>
              <w:t xml:space="preserve"> su riviste indicizzate </w:t>
            </w:r>
            <w:r w:rsidR="003734D3">
              <w:rPr>
                <w:sz w:val="28"/>
                <w:szCs w:val="28"/>
              </w:rPr>
              <w:t>con valutazione indice unico da VRA2022</w:t>
            </w:r>
          </w:p>
        </w:tc>
        <w:tc>
          <w:tcPr>
            <w:tcW w:w="4045" w:type="dxa"/>
            <w:shd w:val="clear" w:color="auto" w:fill="auto"/>
            <w:vAlign w:val="center"/>
          </w:tcPr>
          <w:p w14:paraId="6CEA3217" w14:textId="21E3EB68" w:rsidR="00A1250E" w:rsidRPr="0021533C" w:rsidRDefault="00657137" w:rsidP="00945AFC">
            <w:pPr>
              <w:spacing w:before="60" w:after="60"/>
              <w:jc w:val="both"/>
              <w:rPr>
                <w:sz w:val="28"/>
                <w:szCs w:val="28"/>
              </w:rPr>
            </w:pPr>
            <w:r w:rsidRPr="00030847">
              <w:rPr>
                <w:b/>
                <w:bCs/>
                <w:sz w:val="28"/>
                <w:szCs w:val="28"/>
                <w:u w:val="single"/>
              </w:rPr>
              <w:t>Soverini S</w:t>
            </w:r>
            <w:r w:rsidRPr="00657137">
              <w:rPr>
                <w:sz w:val="28"/>
                <w:szCs w:val="28"/>
              </w:rPr>
              <w:t xml:space="preserve">, Bavaro L, De Benedittis C, Martelli M, </w:t>
            </w:r>
            <w:proofErr w:type="spellStart"/>
            <w:r w:rsidRPr="00657137">
              <w:rPr>
                <w:sz w:val="28"/>
                <w:szCs w:val="28"/>
              </w:rPr>
              <w:t>Iurlo</w:t>
            </w:r>
            <w:proofErr w:type="spellEnd"/>
            <w:r w:rsidRPr="00657137">
              <w:rPr>
                <w:sz w:val="28"/>
                <w:szCs w:val="28"/>
              </w:rPr>
              <w:t xml:space="preserve"> A, </w:t>
            </w:r>
            <w:proofErr w:type="spellStart"/>
            <w:r w:rsidRPr="00657137">
              <w:rPr>
                <w:sz w:val="28"/>
                <w:szCs w:val="28"/>
              </w:rPr>
              <w:t>Orofino</w:t>
            </w:r>
            <w:proofErr w:type="spellEnd"/>
            <w:r w:rsidRPr="00657137">
              <w:rPr>
                <w:sz w:val="28"/>
                <w:szCs w:val="28"/>
              </w:rPr>
              <w:t xml:space="preserve"> N, Sica S, </w:t>
            </w:r>
            <w:proofErr w:type="spellStart"/>
            <w:r w:rsidRPr="00657137">
              <w:rPr>
                <w:sz w:val="28"/>
                <w:szCs w:val="28"/>
              </w:rPr>
              <w:t>Sorà</w:t>
            </w:r>
            <w:proofErr w:type="spellEnd"/>
            <w:r w:rsidRPr="00657137">
              <w:rPr>
                <w:sz w:val="28"/>
                <w:szCs w:val="28"/>
              </w:rPr>
              <w:t xml:space="preserve"> F, Lunghi F, Ciceri F, Galimberti S, </w:t>
            </w:r>
            <w:proofErr w:type="spellStart"/>
            <w:r w:rsidRPr="00657137">
              <w:rPr>
                <w:sz w:val="28"/>
                <w:szCs w:val="28"/>
              </w:rPr>
              <w:t>Baratè</w:t>
            </w:r>
            <w:proofErr w:type="spellEnd"/>
            <w:r w:rsidRPr="00657137">
              <w:rPr>
                <w:sz w:val="28"/>
                <w:szCs w:val="28"/>
              </w:rPr>
              <w:t xml:space="preserve"> C, Bonifacio M, Scaffidi L, Castagnetti F, Gugliotta G, Albano F, Russo Rossi AV, Stagno F, di Raimondo F, D'Adda M, di Bona E, Abruzzese E, Binotto G, Sancetta R, Salvucci M, Capodanno I, Girasoli M, Coluzzi S, Attolico I, Musolino C, Calistri E, Annunziata M, </w:t>
            </w:r>
            <w:proofErr w:type="spellStart"/>
            <w:r w:rsidRPr="00657137">
              <w:rPr>
                <w:sz w:val="28"/>
                <w:szCs w:val="28"/>
              </w:rPr>
              <w:t>Bocchia</w:t>
            </w:r>
            <w:proofErr w:type="spellEnd"/>
            <w:r w:rsidRPr="00657137">
              <w:rPr>
                <w:sz w:val="28"/>
                <w:szCs w:val="28"/>
              </w:rPr>
              <w:t xml:space="preserve"> M, Stella S, Serra A, Errichiello S, </w:t>
            </w:r>
            <w:proofErr w:type="spellStart"/>
            <w:r w:rsidRPr="00657137">
              <w:rPr>
                <w:sz w:val="28"/>
                <w:szCs w:val="28"/>
              </w:rPr>
              <w:t>Saglio</w:t>
            </w:r>
            <w:proofErr w:type="spellEnd"/>
            <w:r w:rsidRPr="00657137">
              <w:rPr>
                <w:sz w:val="28"/>
                <w:szCs w:val="28"/>
              </w:rPr>
              <w:t xml:space="preserve"> G, Pane F, Vigneri P, </w:t>
            </w:r>
            <w:proofErr w:type="spellStart"/>
            <w:r w:rsidRPr="00657137">
              <w:rPr>
                <w:sz w:val="28"/>
                <w:szCs w:val="28"/>
              </w:rPr>
              <w:t>Mignone</w:t>
            </w:r>
            <w:proofErr w:type="spellEnd"/>
            <w:r w:rsidRPr="00657137">
              <w:rPr>
                <w:sz w:val="28"/>
                <w:szCs w:val="28"/>
              </w:rPr>
              <w:t xml:space="preserve"> F, </w:t>
            </w:r>
            <w:proofErr w:type="spellStart"/>
            <w:r w:rsidRPr="00657137">
              <w:rPr>
                <w:sz w:val="28"/>
                <w:szCs w:val="28"/>
              </w:rPr>
              <w:t>Laginestra</w:t>
            </w:r>
            <w:proofErr w:type="spellEnd"/>
            <w:r w:rsidRPr="00657137">
              <w:rPr>
                <w:sz w:val="28"/>
                <w:szCs w:val="28"/>
              </w:rPr>
              <w:t xml:space="preserve"> MA, </w:t>
            </w:r>
            <w:proofErr w:type="spellStart"/>
            <w:r w:rsidRPr="00657137">
              <w:rPr>
                <w:sz w:val="28"/>
                <w:szCs w:val="28"/>
              </w:rPr>
              <w:t>Pileri</w:t>
            </w:r>
            <w:proofErr w:type="spellEnd"/>
            <w:r w:rsidRPr="00657137">
              <w:rPr>
                <w:sz w:val="28"/>
                <w:szCs w:val="28"/>
              </w:rPr>
              <w:t xml:space="preserve"> SA, </w:t>
            </w:r>
            <w:proofErr w:type="spellStart"/>
            <w:r w:rsidRPr="00657137">
              <w:rPr>
                <w:sz w:val="28"/>
                <w:szCs w:val="28"/>
              </w:rPr>
              <w:t>Percesepe</w:t>
            </w:r>
            <w:proofErr w:type="spellEnd"/>
            <w:r w:rsidRPr="00657137">
              <w:rPr>
                <w:sz w:val="28"/>
                <w:szCs w:val="28"/>
              </w:rPr>
              <w:t xml:space="preserve"> A, Tenti E, Rosti G, Baccarani M, Cavo M, Martinelli G. </w:t>
            </w:r>
            <w:proofErr w:type="spellStart"/>
            <w:r w:rsidRPr="00657137">
              <w:rPr>
                <w:sz w:val="28"/>
                <w:szCs w:val="28"/>
              </w:rPr>
              <w:t>Prospective</w:t>
            </w:r>
            <w:proofErr w:type="spellEnd"/>
            <w:r w:rsidRPr="00657137">
              <w:rPr>
                <w:sz w:val="28"/>
                <w:szCs w:val="28"/>
              </w:rPr>
              <w:t xml:space="preserve"> </w:t>
            </w:r>
            <w:proofErr w:type="spellStart"/>
            <w:r w:rsidRPr="00657137">
              <w:rPr>
                <w:sz w:val="28"/>
                <w:szCs w:val="28"/>
              </w:rPr>
              <w:t>assessment</w:t>
            </w:r>
            <w:proofErr w:type="spellEnd"/>
            <w:r w:rsidRPr="00657137">
              <w:rPr>
                <w:sz w:val="28"/>
                <w:szCs w:val="28"/>
              </w:rPr>
              <w:t xml:space="preserve"> of NGS-</w:t>
            </w:r>
            <w:proofErr w:type="spellStart"/>
            <w:r w:rsidRPr="00657137">
              <w:rPr>
                <w:sz w:val="28"/>
                <w:szCs w:val="28"/>
              </w:rPr>
              <w:t>detectable</w:t>
            </w:r>
            <w:proofErr w:type="spellEnd"/>
            <w:r w:rsidRPr="00657137">
              <w:rPr>
                <w:sz w:val="28"/>
                <w:szCs w:val="28"/>
              </w:rPr>
              <w:t xml:space="preserve"> </w:t>
            </w:r>
            <w:proofErr w:type="spellStart"/>
            <w:r w:rsidRPr="00657137">
              <w:rPr>
                <w:sz w:val="28"/>
                <w:szCs w:val="28"/>
              </w:rPr>
              <w:t>mutations</w:t>
            </w:r>
            <w:proofErr w:type="spellEnd"/>
            <w:r w:rsidRPr="00657137">
              <w:rPr>
                <w:sz w:val="28"/>
                <w:szCs w:val="28"/>
              </w:rPr>
              <w:t xml:space="preserve"> in CML </w:t>
            </w:r>
            <w:proofErr w:type="spellStart"/>
            <w:r w:rsidRPr="00657137">
              <w:rPr>
                <w:sz w:val="28"/>
                <w:szCs w:val="28"/>
              </w:rPr>
              <w:t>patients</w:t>
            </w:r>
            <w:proofErr w:type="spellEnd"/>
            <w:r w:rsidRPr="00657137">
              <w:rPr>
                <w:sz w:val="28"/>
                <w:szCs w:val="28"/>
              </w:rPr>
              <w:t xml:space="preserve"> with </w:t>
            </w:r>
            <w:proofErr w:type="spellStart"/>
            <w:r w:rsidRPr="00657137">
              <w:rPr>
                <w:sz w:val="28"/>
                <w:szCs w:val="28"/>
              </w:rPr>
              <w:t>nonoptimal</w:t>
            </w:r>
            <w:proofErr w:type="spellEnd"/>
            <w:r w:rsidRPr="00657137">
              <w:rPr>
                <w:sz w:val="28"/>
                <w:szCs w:val="28"/>
              </w:rPr>
              <w:t xml:space="preserve"> </w:t>
            </w:r>
            <w:proofErr w:type="spellStart"/>
            <w:r w:rsidRPr="00657137">
              <w:rPr>
                <w:sz w:val="28"/>
                <w:szCs w:val="28"/>
              </w:rPr>
              <w:t>response</w:t>
            </w:r>
            <w:proofErr w:type="spellEnd"/>
            <w:r w:rsidRPr="00657137">
              <w:rPr>
                <w:sz w:val="28"/>
                <w:szCs w:val="28"/>
              </w:rPr>
              <w:t xml:space="preserve">: the NEXT-in-CML study. Blood. 2020 </w:t>
            </w:r>
            <w:proofErr w:type="spellStart"/>
            <w:r w:rsidRPr="00657137">
              <w:rPr>
                <w:sz w:val="28"/>
                <w:szCs w:val="28"/>
              </w:rPr>
              <w:t>Feb</w:t>
            </w:r>
            <w:proofErr w:type="spellEnd"/>
            <w:r w:rsidRPr="00657137">
              <w:rPr>
                <w:sz w:val="28"/>
                <w:szCs w:val="28"/>
              </w:rPr>
              <w:t xml:space="preserve"> 20;135(8):534-541.</w:t>
            </w:r>
          </w:p>
        </w:tc>
        <w:tc>
          <w:tcPr>
            <w:tcW w:w="1828" w:type="dxa"/>
          </w:tcPr>
          <w:p w14:paraId="6958F5E6" w14:textId="4DBBBBDD" w:rsidR="00A1250E" w:rsidRPr="0021533C" w:rsidRDefault="00F35864" w:rsidP="00945AFC">
            <w:pPr>
              <w:spacing w:before="60" w:after="60"/>
              <w:jc w:val="both"/>
              <w:rPr>
                <w:sz w:val="28"/>
                <w:szCs w:val="28"/>
              </w:rPr>
            </w:pPr>
            <w:r>
              <w:rPr>
                <w:sz w:val="28"/>
                <w:szCs w:val="28"/>
              </w:rPr>
              <w:t>0,98</w:t>
            </w:r>
          </w:p>
        </w:tc>
        <w:tc>
          <w:tcPr>
            <w:tcW w:w="1540" w:type="dxa"/>
          </w:tcPr>
          <w:p w14:paraId="0D5A3FF1" w14:textId="77777777" w:rsidR="00A1250E" w:rsidRPr="0021533C" w:rsidRDefault="00A1250E" w:rsidP="00945AFC">
            <w:pPr>
              <w:spacing w:before="60" w:after="60"/>
              <w:jc w:val="both"/>
              <w:rPr>
                <w:sz w:val="28"/>
                <w:szCs w:val="28"/>
              </w:rPr>
            </w:pPr>
          </w:p>
        </w:tc>
      </w:tr>
      <w:tr w:rsidR="00A1250E" w:rsidRPr="00F70053" w14:paraId="0D67B23E" w14:textId="5A53C2B6" w:rsidTr="003734D3">
        <w:trPr>
          <w:trHeight w:val="2693"/>
        </w:trPr>
        <w:tc>
          <w:tcPr>
            <w:tcW w:w="2215" w:type="dxa"/>
            <w:gridSpan w:val="2"/>
            <w:vMerge/>
            <w:shd w:val="clear" w:color="auto" w:fill="auto"/>
            <w:vAlign w:val="center"/>
          </w:tcPr>
          <w:p w14:paraId="1A2927D2" w14:textId="77777777" w:rsidR="00A1250E" w:rsidDel="00052630" w:rsidRDefault="00A1250E" w:rsidP="00945AFC">
            <w:pPr>
              <w:spacing w:before="60" w:after="60"/>
              <w:jc w:val="both"/>
              <w:rPr>
                <w:sz w:val="28"/>
                <w:szCs w:val="28"/>
              </w:rPr>
            </w:pPr>
          </w:p>
        </w:tc>
        <w:tc>
          <w:tcPr>
            <w:tcW w:w="4045" w:type="dxa"/>
            <w:shd w:val="clear" w:color="auto" w:fill="auto"/>
            <w:vAlign w:val="center"/>
          </w:tcPr>
          <w:p w14:paraId="37E954D1" w14:textId="45E094A7" w:rsidR="00A1250E" w:rsidRPr="0021533C" w:rsidRDefault="00E766E1" w:rsidP="00945AFC">
            <w:pPr>
              <w:spacing w:before="60" w:after="60"/>
              <w:jc w:val="both"/>
              <w:rPr>
                <w:sz w:val="28"/>
                <w:szCs w:val="28"/>
              </w:rPr>
            </w:pPr>
            <w:r w:rsidRPr="00E766E1">
              <w:rPr>
                <w:b/>
                <w:bCs/>
                <w:sz w:val="28"/>
                <w:szCs w:val="28"/>
                <w:u w:val="single"/>
              </w:rPr>
              <w:t>Soverini S</w:t>
            </w:r>
            <w:r w:rsidRPr="00E766E1">
              <w:rPr>
                <w:sz w:val="28"/>
                <w:szCs w:val="28"/>
              </w:rPr>
              <w:t xml:space="preserve">, Martelli M, Bavaro L, De Benedittis C, Sica S, </w:t>
            </w:r>
            <w:proofErr w:type="spellStart"/>
            <w:r w:rsidRPr="00E766E1">
              <w:rPr>
                <w:sz w:val="28"/>
                <w:szCs w:val="28"/>
              </w:rPr>
              <w:t>Sorà</w:t>
            </w:r>
            <w:proofErr w:type="spellEnd"/>
            <w:r w:rsidRPr="00E766E1">
              <w:rPr>
                <w:sz w:val="28"/>
                <w:szCs w:val="28"/>
              </w:rPr>
              <w:t xml:space="preserve"> F, </w:t>
            </w:r>
            <w:proofErr w:type="spellStart"/>
            <w:r w:rsidRPr="00E766E1">
              <w:rPr>
                <w:sz w:val="28"/>
                <w:szCs w:val="28"/>
              </w:rPr>
              <w:t>Iurlo</w:t>
            </w:r>
            <w:proofErr w:type="spellEnd"/>
            <w:r w:rsidRPr="00E766E1">
              <w:rPr>
                <w:sz w:val="28"/>
                <w:szCs w:val="28"/>
              </w:rPr>
              <w:t xml:space="preserve"> A, Bonifacio M, Pregno P, Galimberti S, Lunghi F, Albano F, D'Adda M, Crugnola M, Capodanno I, Castagnetti F, Gugliotta G, </w:t>
            </w:r>
            <w:proofErr w:type="spellStart"/>
            <w:r w:rsidRPr="00E766E1">
              <w:rPr>
                <w:sz w:val="28"/>
                <w:szCs w:val="28"/>
              </w:rPr>
              <w:t>Papayannidis</w:t>
            </w:r>
            <w:proofErr w:type="spellEnd"/>
            <w:r w:rsidRPr="00E766E1">
              <w:rPr>
                <w:sz w:val="28"/>
                <w:szCs w:val="28"/>
              </w:rPr>
              <w:t xml:space="preserve"> C, </w:t>
            </w:r>
            <w:proofErr w:type="spellStart"/>
            <w:r w:rsidRPr="00E766E1">
              <w:rPr>
                <w:sz w:val="28"/>
                <w:szCs w:val="28"/>
              </w:rPr>
              <w:t>Rosti</w:t>
            </w:r>
            <w:proofErr w:type="spellEnd"/>
            <w:r w:rsidRPr="00E766E1">
              <w:rPr>
                <w:sz w:val="28"/>
                <w:szCs w:val="28"/>
              </w:rPr>
              <w:t xml:space="preserve"> G, </w:t>
            </w:r>
            <w:proofErr w:type="spellStart"/>
            <w:r w:rsidRPr="00E766E1">
              <w:rPr>
                <w:sz w:val="28"/>
                <w:szCs w:val="28"/>
              </w:rPr>
              <w:t>Percesepe</w:t>
            </w:r>
            <w:proofErr w:type="spellEnd"/>
            <w:r w:rsidRPr="00E766E1">
              <w:rPr>
                <w:sz w:val="28"/>
                <w:szCs w:val="28"/>
              </w:rPr>
              <w:t xml:space="preserve"> A, </w:t>
            </w:r>
            <w:proofErr w:type="spellStart"/>
            <w:r w:rsidRPr="00E766E1">
              <w:rPr>
                <w:sz w:val="28"/>
                <w:szCs w:val="28"/>
              </w:rPr>
              <w:t>Mignone</w:t>
            </w:r>
            <w:proofErr w:type="spellEnd"/>
            <w:r w:rsidRPr="00E766E1">
              <w:rPr>
                <w:sz w:val="28"/>
                <w:szCs w:val="28"/>
              </w:rPr>
              <w:t xml:space="preserve"> F, </w:t>
            </w:r>
            <w:r w:rsidRPr="00E766E1">
              <w:rPr>
                <w:sz w:val="28"/>
                <w:szCs w:val="28"/>
              </w:rPr>
              <w:lastRenderedPageBreak/>
              <w:t xml:space="preserve">Baccarani M, Martinelli G, Cavo M. BCR-ABL1 compound </w:t>
            </w:r>
            <w:proofErr w:type="spellStart"/>
            <w:r w:rsidRPr="00E766E1">
              <w:rPr>
                <w:sz w:val="28"/>
                <w:szCs w:val="28"/>
              </w:rPr>
              <w:t>mutants</w:t>
            </w:r>
            <w:proofErr w:type="spellEnd"/>
            <w:r w:rsidRPr="00E766E1">
              <w:rPr>
                <w:sz w:val="28"/>
                <w:szCs w:val="28"/>
              </w:rPr>
              <w:t xml:space="preserve">: </w:t>
            </w:r>
            <w:proofErr w:type="spellStart"/>
            <w:r w:rsidRPr="00E766E1">
              <w:rPr>
                <w:sz w:val="28"/>
                <w:szCs w:val="28"/>
              </w:rPr>
              <w:t>prevalence</w:t>
            </w:r>
            <w:proofErr w:type="spellEnd"/>
            <w:r w:rsidRPr="00E766E1">
              <w:rPr>
                <w:sz w:val="28"/>
                <w:szCs w:val="28"/>
              </w:rPr>
              <w:t xml:space="preserve">, spectrum and </w:t>
            </w:r>
            <w:proofErr w:type="spellStart"/>
            <w:r w:rsidRPr="00E766E1">
              <w:rPr>
                <w:sz w:val="28"/>
                <w:szCs w:val="28"/>
              </w:rPr>
              <w:t>correlation</w:t>
            </w:r>
            <w:proofErr w:type="spellEnd"/>
            <w:r w:rsidRPr="00E766E1">
              <w:rPr>
                <w:sz w:val="28"/>
                <w:szCs w:val="28"/>
              </w:rPr>
              <w:t xml:space="preserve"> with </w:t>
            </w:r>
            <w:proofErr w:type="spellStart"/>
            <w:r w:rsidRPr="00E766E1">
              <w:rPr>
                <w:sz w:val="28"/>
                <w:szCs w:val="28"/>
              </w:rPr>
              <w:t>tyrosine</w:t>
            </w:r>
            <w:proofErr w:type="spellEnd"/>
            <w:r w:rsidRPr="00E766E1">
              <w:rPr>
                <w:sz w:val="28"/>
                <w:szCs w:val="28"/>
              </w:rPr>
              <w:t xml:space="preserve"> </w:t>
            </w:r>
            <w:proofErr w:type="spellStart"/>
            <w:r w:rsidRPr="00E766E1">
              <w:rPr>
                <w:sz w:val="28"/>
                <w:szCs w:val="28"/>
              </w:rPr>
              <w:t>kinase</w:t>
            </w:r>
            <w:proofErr w:type="spellEnd"/>
            <w:r w:rsidRPr="00E766E1">
              <w:rPr>
                <w:sz w:val="28"/>
                <w:szCs w:val="28"/>
              </w:rPr>
              <w:t xml:space="preserve"> </w:t>
            </w:r>
            <w:proofErr w:type="spellStart"/>
            <w:r w:rsidRPr="00E766E1">
              <w:rPr>
                <w:sz w:val="28"/>
                <w:szCs w:val="28"/>
              </w:rPr>
              <w:t>inhibitor</w:t>
            </w:r>
            <w:proofErr w:type="spellEnd"/>
            <w:r w:rsidRPr="00E766E1">
              <w:rPr>
                <w:sz w:val="28"/>
                <w:szCs w:val="28"/>
              </w:rPr>
              <w:t xml:space="preserve"> </w:t>
            </w:r>
            <w:proofErr w:type="spellStart"/>
            <w:r w:rsidRPr="00E766E1">
              <w:rPr>
                <w:sz w:val="28"/>
                <w:szCs w:val="28"/>
              </w:rPr>
              <w:t>resistance</w:t>
            </w:r>
            <w:proofErr w:type="spellEnd"/>
            <w:r w:rsidRPr="00E766E1">
              <w:rPr>
                <w:sz w:val="28"/>
                <w:szCs w:val="28"/>
              </w:rPr>
              <w:t xml:space="preserve"> in a consecutive </w:t>
            </w:r>
            <w:proofErr w:type="spellStart"/>
            <w:r w:rsidRPr="00E766E1">
              <w:rPr>
                <w:sz w:val="28"/>
                <w:szCs w:val="28"/>
              </w:rPr>
              <w:t>series</w:t>
            </w:r>
            <w:proofErr w:type="spellEnd"/>
            <w:r w:rsidRPr="00E766E1">
              <w:rPr>
                <w:sz w:val="28"/>
                <w:szCs w:val="28"/>
              </w:rPr>
              <w:t xml:space="preserve"> of Philadelphia </w:t>
            </w:r>
            <w:proofErr w:type="spellStart"/>
            <w:r w:rsidRPr="00E766E1">
              <w:rPr>
                <w:sz w:val="28"/>
                <w:szCs w:val="28"/>
              </w:rPr>
              <w:t>chromosome</w:t>
            </w:r>
            <w:proofErr w:type="spellEnd"/>
            <w:r w:rsidRPr="00E766E1">
              <w:rPr>
                <w:sz w:val="28"/>
                <w:szCs w:val="28"/>
              </w:rPr>
              <w:t xml:space="preserve">-positive </w:t>
            </w:r>
            <w:proofErr w:type="spellStart"/>
            <w:r w:rsidRPr="00E766E1">
              <w:rPr>
                <w:sz w:val="28"/>
                <w:szCs w:val="28"/>
              </w:rPr>
              <w:t>leukemia</w:t>
            </w:r>
            <w:proofErr w:type="spellEnd"/>
            <w:r w:rsidRPr="00E766E1">
              <w:rPr>
                <w:sz w:val="28"/>
                <w:szCs w:val="28"/>
              </w:rPr>
              <w:t xml:space="preserve"> </w:t>
            </w:r>
            <w:proofErr w:type="spellStart"/>
            <w:r w:rsidRPr="00E766E1">
              <w:rPr>
                <w:sz w:val="28"/>
                <w:szCs w:val="28"/>
              </w:rPr>
              <w:t>patients</w:t>
            </w:r>
            <w:proofErr w:type="spellEnd"/>
            <w:r w:rsidRPr="00E766E1">
              <w:rPr>
                <w:sz w:val="28"/>
                <w:szCs w:val="28"/>
              </w:rPr>
              <w:t xml:space="preserve"> </w:t>
            </w:r>
            <w:proofErr w:type="spellStart"/>
            <w:r w:rsidRPr="00E766E1">
              <w:rPr>
                <w:sz w:val="28"/>
                <w:szCs w:val="28"/>
              </w:rPr>
              <w:t>analyzed</w:t>
            </w:r>
            <w:proofErr w:type="spellEnd"/>
            <w:r w:rsidRPr="00E766E1">
              <w:rPr>
                <w:sz w:val="28"/>
                <w:szCs w:val="28"/>
              </w:rPr>
              <w:t xml:space="preserve"> by NGS. </w:t>
            </w:r>
            <w:proofErr w:type="spellStart"/>
            <w:r w:rsidRPr="00E766E1">
              <w:rPr>
                <w:sz w:val="28"/>
                <w:szCs w:val="28"/>
              </w:rPr>
              <w:t>Leukemia</w:t>
            </w:r>
            <w:proofErr w:type="spellEnd"/>
            <w:r w:rsidRPr="00E766E1">
              <w:rPr>
                <w:sz w:val="28"/>
                <w:szCs w:val="28"/>
              </w:rPr>
              <w:t>. 2021 Jul;35(7):2102-2107.</w:t>
            </w:r>
          </w:p>
        </w:tc>
        <w:tc>
          <w:tcPr>
            <w:tcW w:w="1828" w:type="dxa"/>
          </w:tcPr>
          <w:p w14:paraId="3064DA5B" w14:textId="3BB7220E" w:rsidR="00A1250E" w:rsidRPr="0021533C" w:rsidRDefault="00F35864" w:rsidP="00945AFC">
            <w:pPr>
              <w:spacing w:before="60" w:after="60"/>
              <w:jc w:val="both"/>
              <w:rPr>
                <w:sz w:val="28"/>
                <w:szCs w:val="28"/>
              </w:rPr>
            </w:pPr>
            <w:r>
              <w:rPr>
                <w:sz w:val="28"/>
                <w:szCs w:val="28"/>
              </w:rPr>
              <w:lastRenderedPageBreak/>
              <w:t>0,9</w:t>
            </w:r>
            <w:r w:rsidR="00E766E1">
              <w:rPr>
                <w:sz w:val="28"/>
                <w:szCs w:val="28"/>
              </w:rPr>
              <w:t>6</w:t>
            </w:r>
          </w:p>
        </w:tc>
        <w:tc>
          <w:tcPr>
            <w:tcW w:w="1540" w:type="dxa"/>
          </w:tcPr>
          <w:p w14:paraId="5A61A8DE" w14:textId="77777777" w:rsidR="00A1250E" w:rsidRPr="0021533C" w:rsidRDefault="00A1250E" w:rsidP="00945AFC">
            <w:pPr>
              <w:spacing w:before="60" w:after="60"/>
              <w:jc w:val="both"/>
              <w:rPr>
                <w:sz w:val="28"/>
                <w:szCs w:val="28"/>
              </w:rPr>
            </w:pPr>
          </w:p>
        </w:tc>
      </w:tr>
      <w:tr w:rsidR="00A1250E" w:rsidRPr="00F70053" w14:paraId="15E7211F" w14:textId="6F9823F0" w:rsidTr="003734D3">
        <w:trPr>
          <w:trHeight w:val="3242"/>
        </w:trPr>
        <w:tc>
          <w:tcPr>
            <w:tcW w:w="2215" w:type="dxa"/>
            <w:gridSpan w:val="2"/>
            <w:vMerge/>
            <w:shd w:val="clear" w:color="auto" w:fill="auto"/>
            <w:vAlign w:val="center"/>
          </w:tcPr>
          <w:p w14:paraId="5E2D9F9B" w14:textId="77777777" w:rsidR="00A1250E" w:rsidDel="00052630" w:rsidRDefault="00A1250E" w:rsidP="00945AFC">
            <w:pPr>
              <w:spacing w:before="60" w:after="60"/>
              <w:jc w:val="both"/>
              <w:rPr>
                <w:sz w:val="28"/>
                <w:szCs w:val="28"/>
              </w:rPr>
            </w:pPr>
          </w:p>
        </w:tc>
        <w:tc>
          <w:tcPr>
            <w:tcW w:w="4045" w:type="dxa"/>
            <w:shd w:val="clear" w:color="auto" w:fill="auto"/>
            <w:vAlign w:val="center"/>
          </w:tcPr>
          <w:p w14:paraId="1750E829" w14:textId="34911486" w:rsidR="00A1250E" w:rsidRPr="002336DF" w:rsidRDefault="00946AA4" w:rsidP="00945AFC">
            <w:pPr>
              <w:spacing w:before="60" w:after="60"/>
              <w:jc w:val="both"/>
              <w:rPr>
                <w:sz w:val="28"/>
                <w:szCs w:val="28"/>
                <w:lang w:val="en-US"/>
              </w:rPr>
            </w:pPr>
            <w:r w:rsidRPr="00946AA4">
              <w:rPr>
                <w:sz w:val="28"/>
                <w:szCs w:val="28"/>
              </w:rPr>
              <w:t xml:space="preserve">Hochhaus A, Baccarani M, Silver RT, Schiffer C, </w:t>
            </w:r>
            <w:proofErr w:type="spellStart"/>
            <w:r w:rsidRPr="00946AA4">
              <w:rPr>
                <w:sz w:val="28"/>
                <w:szCs w:val="28"/>
              </w:rPr>
              <w:t>Apperley</w:t>
            </w:r>
            <w:proofErr w:type="spellEnd"/>
            <w:r w:rsidRPr="00946AA4">
              <w:rPr>
                <w:sz w:val="28"/>
                <w:szCs w:val="28"/>
              </w:rPr>
              <w:t xml:space="preserve"> JF, Cervantes F, Clark RE, Cortes JE, </w:t>
            </w:r>
            <w:proofErr w:type="spellStart"/>
            <w:r w:rsidRPr="00946AA4">
              <w:rPr>
                <w:sz w:val="28"/>
                <w:szCs w:val="28"/>
              </w:rPr>
              <w:t>Deininger</w:t>
            </w:r>
            <w:proofErr w:type="spellEnd"/>
            <w:r w:rsidRPr="00946AA4">
              <w:rPr>
                <w:sz w:val="28"/>
                <w:szCs w:val="28"/>
              </w:rPr>
              <w:t xml:space="preserve"> MW, </w:t>
            </w:r>
            <w:proofErr w:type="spellStart"/>
            <w:r w:rsidRPr="00946AA4">
              <w:rPr>
                <w:sz w:val="28"/>
                <w:szCs w:val="28"/>
              </w:rPr>
              <w:t>Guilhot</w:t>
            </w:r>
            <w:proofErr w:type="spellEnd"/>
            <w:r w:rsidRPr="00946AA4">
              <w:rPr>
                <w:sz w:val="28"/>
                <w:szCs w:val="28"/>
              </w:rPr>
              <w:t xml:space="preserve"> F, </w:t>
            </w:r>
            <w:proofErr w:type="spellStart"/>
            <w:r w:rsidRPr="00946AA4">
              <w:rPr>
                <w:sz w:val="28"/>
                <w:szCs w:val="28"/>
              </w:rPr>
              <w:t>Hjorth</w:t>
            </w:r>
            <w:proofErr w:type="spellEnd"/>
            <w:r w:rsidRPr="00946AA4">
              <w:rPr>
                <w:sz w:val="28"/>
                <w:szCs w:val="28"/>
              </w:rPr>
              <w:t xml:space="preserve">-Hansen H, Hughes TP, </w:t>
            </w:r>
            <w:proofErr w:type="spellStart"/>
            <w:r w:rsidRPr="00946AA4">
              <w:rPr>
                <w:sz w:val="28"/>
                <w:szCs w:val="28"/>
              </w:rPr>
              <w:t>Janssen</w:t>
            </w:r>
            <w:proofErr w:type="spellEnd"/>
            <w:r w:rsidRPr="00946AA4">
              <w:rPr>
                <w:sz w:val="28"/>
                <w:szCs w:val="28"/>
              </w:rPr>
              <w:t xml:space="preserve"> JJWM, </w:t>
            </w:r>
            <w:proofErr w:type="spellStart"/>
            <w:r w:rsidRPr="00946AA4">
              <w:rPr>
                <w:sz w:val="28"/>
                <w:szCs w:val="28"/>
              </w:rPr>
              <w:t>Kantarjian</w:t>
            </w:r>
            <w:proofErr w:type="spellEnd"/>
            <w:r w:rsidRPr="00946AA4">
              <w:rPr>
                <w:sz w:val="28"/>
                <w:szCs w:val="28"/>
              </w:rPr>
              <w:t xml:space="preserve"> HM, </w:t>
            </w:r>
            <w:proofErr w:type="spellStart"/>
            <w:r w:rsidRPr="00946AA4">
              <w:rPr>
                <w:sz w:val="28"/>
                <w:szCs w:val="28"/>
              </w:rPr>
              <w:t>Kim</w:t>
            </w:r>
            <w:proofErr w:type="spellEnd"/>
            <w:r w:rsidRPr="00946AA4">
              <w:rPr>
                <w:sz w:val="28"/>
                <w:szCs w:val="28"/>
              </w:rPr>
              <w:t xml:space="preserve"> DW, Larson RA, Lipton JH, Mahon FX, Mayer J, Nicolini F, </w:t>
            </w:r>
            <w:proofErr w:type="spellStart"/>
            <w:r w:rsidRPr="00946AA4">
              <w:rPr>
                <w:sz w:val="28"/>
                <w:szCs w:val="28"/>
              </w:rPr>
              <w:t>Niederwieser</w:t>
            </w:r>
            <w:proofErr w:type="spellEnd"/>
            <w:r w:rsidRPr="00946AA4">
              <w:rPr>
                <w:sz w:val="28"/>
                <w:szCs w:val="28"/>
              </w:rPr>
              <w:t xml:space="preserve"> D, Pane F, </w:t>
            </w:r>
            <w:proofErr w:type="spellStart"/>
            <w:r w:rsidRPr="00946AA4">
              <w:rPr>
                <w:sz w:val="28"/>
                <w:szCs w:val="28"/>
              </w:rPr>
              <w:t>Radich</w:t>
            </w:r>
            <w:proofErr w:type="spellEnd"/>
            <w:r w:rsidRPr="00946AA4">
              <w:rPr>
                <w:sz w:val="28"/>
                <w:szCs w:val="28"/>
              </w:rPr>
              <w:t xml:space="preserve"> JP, Rea D, Richter J, </w:t>
            </w:r>
            <w:proofErr w:type="spellStart"/>
            <w:r w:rsidRPr="00946AA4">
              <w:rPr>
                <w:sz w:val="28"/>
                <w:szCs w:val="28"/>
              </w:rPr>
              <w:t>Rosti</w:t>
            </w:r>
            <w:proofErr w:type="spellEnd"/>
            <w:r w:rsidRPr="00946AA4">
              <w:rPr>
                <w:sz w:val="28"/>
                <w:szCs w:val="28"/>
              </w:rPr>
              <w:t xml:space="preserve"> G, </w:t>
            </w:r>
            <w:proofErr w:type="spellStart"/>
            <w:r w:rsidRPr="00946AA4">
              <w:rPr>
                <w:sz w:val="28"/>
                <w:szCs w:val="28"/>
              </w:rPr>
              <w:t>Rousselot</w:t>
            </w:r>
            <w:proofErr w:type="spellEnd"/>
            <w:r w:rsidRPr="00946AA4">
              <w:rPr>
                <w:sz w:val="28"/>
                <w:szCs w:val="28"/>
              </w:rPr>
              <w:t xml:space="preserve"> P, </w:t>
            </w:r>
            <w:proofErr w:type="spellStart"/>
            <w:r w:rsidRPr="00946AA4">
              <w:rPr>
                <w:sz w:val="28"/>
                <w:szCs w:val="28"/>
              </w:rPr>
              <w:t>Saglio</w:t>
            </w:r>
            <w:proofErr w:type="spellEnd"/>
            <w:r w:rsidRPr="00946AA4">
              <w:rPr>
                <w:sz w:val="28"/>
                <w:szCs w:val="28"/>
              </w:rPr>
              <w:t xml:space="preserve"> G, </w:t>
            </w:r>
            <w:proofErr w:type="spellStart"/>
            <w:r w:rsidRPr="00946AA4">
              <w:rPr>
                <w:sz w:val="28"/>
                <w:szCs w:val="28"/>
              </w:rPr>
              <w:t>Saußele</w:t>
            </w:r>
            <w:proofErr w:type="spellEnd"/>
            <w:r w:rsidRPr="00946AA4">
              <w:rPr>
                <w:sz w:val="28"/>
                <w:szCs w:val="28"/>
              </w:rPr>
              <w:t xml:space="preserve"> S, </w:t>
            </w:r>
            <w:proofErr w:type="spellStart"/>
            <w:r w:rsidRPr="00946AA4">
              <w:rPr>
                <w:b/>
                <w:bCs/>
                <w:sz w:val="28"/>
                <w:szCs w:val="28"/>
                <w:u w:val="single"/>
              </w:rPr>
              <w:t>Soverini</w:t>
            </w:r>
            <w:proofErr w:type="spellEnd"/>
            <w:r w:rsidRPr="00946AA4">
              <w:rPr>
                <w:b/>
                <w:bCs/>
                <w:sz w:val="28"/>
                <w:szCs w:val="28"/>
                <w:u w:val="single"/>
              </w:rPr>
              <w:t xml:space="preserve"> S</w:t>
            </w:r>
            <w:r w:rsidRPr="00946AA4">
              <w:rPr>
                <w:sz w:val="28"/>
                <w:szCs w:val="28"/>
              </w:rPr>
              <w:t xml:space="preserve">, </w:t>
            </w:r>
            <w:proofErr w:type="spellStart"/>
            <w:r w:rsidRPr="00946AA4">
              <w:rPr>
                <w:sz w:val="28"/>
                <w:szCs w:val="28"/>
              </w:rPr>
              <w:t>Steegmann</w:t>
            </w:r>
            <w:proofErr w:type="spellEnd"/>
            <w:r w:rsidRPr="00946AA4">
              <w:rPr>
                <w:sz w:val="28"/>
                <w:szCs w:val="28"/>
              </w:rPr>
              <w:t xml:space="preserve"> JL, </w:t>
            </w:r>
            <w:proofErr w:type="spellStart"/>
            <w:r w:rsidRPr="00946AA4">
              <w:rPr>
                <w:sz w:val="28"/>
                <w:szCs w:val="28"/>
              </w:rPr>
              <w:t>Turkina</w:t>
            </w:r>
            <w:proofErr w:type="spellEnd"/>
            <w:r w:rsidRPr="00946AA4">
              <w:rPr>
                <w:sz w:val="28"/>
                <w:szCs w:val="28"/>
              </w:rPr>
              <w:t xml:space="preserve"> A, </w:t>
            </w:r>
            <w:proofErr w:type="spellStart"/>
            <w:r w:rsidRPr="00946AA4">
              <w:rPr>
                <w:sz w:val="28"/>
                <w:szCs w:val="28"/>
              </w:rPr>
              <w:t>Zaritskey</w:t>
            </w:r>
            <w:proofErr w:type="spellEnd"/>
            <w:r w:rsidRPr="00946AA4">
              <w:rPr>
                <w:sz w:val="28"/>
                <w:szCs w:val="28"/>
              </w:rPr>
              <w:t xml:space="preserve"> A, </w:t>
            </w:r>
            <w:proofErr w:type="spellStart"/>
            <w:r w:rsidRPr="00946AA4">
              <w:rPr>
                <w:sz w:val="28"/>
                <w:szCs w:val="28"/>
              </w:rPr>
              <w:t>Hehlmann</w:t>
            </w:r>
            <w:proofErr w:type="spellEnd"/>
            <w:r w:rsidRPr="00946AA4">
              <w:rPr>
                <w:sz w:val="28"/>
                <w:szCs w:val="28"/>
              </w:rPr>
              <w:t xml:space="preserve"> R. </w:t>
            </w:r>
            <w:proofErr w:type="spellStart"/>
            <w:r w:rsidRPr="00946AA4">
              <w:rPr>
                <w:sz w:val="28"/>
                <w:szCs w:val="28"/>
              </w:rPr>
              <w:t>European</w:t>
            </w:r>
            <w:proofErr w:type="spellEnd"/>
            <w:r w:rsidRPr="00946AA4">
              <w:rPr>
                <w:sz w:val="28"/>
                <w:szCs w:val="28"/>
              </w:rPr>
              <w:t xml:space="preserve"> </w:t>
            </w:r>
            <w:proofErr w:type="spellStart"/>
            <w:r w:rsidRPr="00946AA4">
              <w:rPr>
                <w:sz w:val="28"/>
                <w:szCs w:val="28"/>
              </w:rPr>
              <w:t>LeukemiaNet</w:t>
            </w:r>
            <w:proofErr w:type="spellEnd"/>
            <w:r w:rsidRPr="00946AA4">
              <w:rPr>
                <w:sz w:val="28"/>
                <w:szCs w:val="28"/>
              </w:rPr>
              <w:t xml:space="preserve"> 2020 </w:t>
            </w:r>
            <w:proofErr w:type="spellStart"/>
            <w:r w:rsidRPr="00946AA4">
              <w:rPr>
                <w:sz w:val="28"/>
                <w:szCs w:val="28"/>
              </w:rPr>
              <w:t>recommendations</w:t>
            </w:r>
            <w:proofErr w:type="spellEnd"/>
            <w:r w:rsidRPr="00946AA4">
              <w:rPr>
                <w:sz w:val="28"/>
                <w:szCs w:val="28"/>
              </w:rPr>
              <w:t xml:space="preserve"> for </w:t>
            </w:r>
            <w:proofErr w:type="spellStart"/>
            <w:r w:rsidRPr="00946AA4">
              <w:rPr>
                <w:sz w:val="28"/>
                <w:szCs w:val="28"/>
              </w:rPr>
              <w:t>treating</w:t>
            </w:r>
            <w:proofErr w:type="spellEnd"/>
            <w:r w:rsidRPr="00946AA4">
              <w:rPr>
                <w:sz w:val="28"/>
                <w:szCs w:val="28"/>
              </w:rPr>
              <w:t xml:space="preserve"> </w:t>
            </w:r>
            <w:proofErr w:type="spellStart"/>
            <w:r w:rsidRPr="00946AA4">
              <w:rPr>
                <w:sz w:val="28"/>
                <w:szCs w:val="28"/>
              </w:rPr>
              <w:t>chronic</w:t>
            </w:r>
            <w:proofErr w:type="spellEnd"/>
            <w:r w:rsidRPr="00946AA4">
              <w:rPr>
                <w:sz w:val="28"/>
                <w:szCs w:val="28"/>
              </w:rPr>
              <w:t xml:space="preserve"> </w:t>
            </w:r>
            <w:proofErr w:type="spellStart"/>
            <w:r w:rsidRPr="00946AA4">
              <w:rPr>
                <w:sz w:val="28"/>
                <w:szCs w:val="28"/>
              </w:rPr>
              <w:t>myeloid</w:t>
            </w:r>
            <w:proofErr w:type="spellEnd"/>
            <w:r w:rsidRPr="00946AA4">
              <w:rPr>
                <w:sz w:val="28"/>
                <w:szCs w:val="28"/>
              </w:rPr>
              <w:t xml:space="preserve"> </w:t>
            </w:r>
            <w:proofErr w:type="spellStart"/>
            <w:r w:rsidRPr="00946AA4">
              <w:rPr>
                <w:sz w:val="28"/>
                <w:szCs w:val="28"/>
              </w:rPr>
              <w:t>leukemia</w:t>
            </w:r>
            <w:proofErr w:type="spellEnd"/>
            <w:r w:rsidRPr="00946AA4">
              <w:rPr>
                <w:sz w:val="28"/>
                <w:szCs w:val="28"/>
              </w:rPr>
              <w:t xml:space="preserve">. </w:t>
            </w:r>
            <w:r w:rsidRPr="00946AA4">
              <w:rPr>
                <w:sz w:val="28"/>
                <w:szCs w:val="28"/>
                <w:lang w:val="en-US"/>
              </w:rPr>
              <w:t>Leukemia. 2020 Apr;34(4):966-984.</w:t>
            </w:r>
          </w:p>
        </w:tc>
        <w:tc>
          <w:tcPr>
            <w:tcW w:w="1828" w:type="dxa"/>
          </w:tcPr>
          <w:p w14:paraId="7A6075DB" w14:textId="0041467D" w:rsidR="00A1250E" w:rsidRPr="0021533C" w:rsidRDefault="00F35864" w:rsidP="00945AFC">
            <w:pPr>
              <w:spacing w:before="60" w:after="60"/>
              <w:jc w:val="both"/>
              <w:rPr>
                <w:sz w:val="28"/>
                <w:szCs w:val="28"/>
              </w:rPr>
            </w:pPr>
            <w:r>
              <w:rPr>
                <w:sz w:val="28"/>
                <w:szCs w:val="28"/>
              </w:rPr>
              <w:t>0,9</w:t>
            </w:r>
            <w:r w:rsidR="00946AA4">
              <w:rPr>
                <w:sz w:val="28"/>
                <w:szCs w:val="28"/>
              </w:rPr>
              <w:t>8</w:t>
            </w:r>
          </w:p>
        </w:tc>
        <w:tc>
          <w:tcPr>
            <w:tcW w:w="1540" w:type="dxa"/>
          </w:tcPr>
          <w:p w14:paraId="3AA79F7B" w14:textId="77777777" w:rsidR="00A1250E" w:rsidRPr="0021533C" w:rsidRDefault="00A1250E" w:rsidP="00945AFC">
            <w:pPr>
              <w:spacing w:before="60" w:after="60"/>
              <w:jc w:val="both"/>
              <w:rPr>
                <w:sz w:val="28"/>
                <w:szCs w:val="28"/>
              </w:rPr>
            </w:pPr>
          </w:p>
        </w:tc>
      </w:tr>
      <w:tr w:rsidR="00A1250E" w:rsidRPr="00F70053" w14:paraId="31CE2E87" w14:textId="77777777" w:rsidTr="008967C1">
        <w:trPr>
          <w:trHeight w:val="592"/>
        </w:trPr>
        <w:tc>
          <w:tcPr>
            <w:tcW w:w="8088" w:type="dxa"/>
            <w:gridSpan w:val="4"/>
            <w:shd w:val="clear" w:color="auto" w:fill="auto"/>
            <w:vAlign w:val="center"/>
          </w:tcPr>
          <w:p w14:paraId="6140CFD1" w14:textId="171374E6" w:rsidR="00A1250E" w:rsidRPr="00A1250E" w:rsidRDefault="00A1250E" w:rsidP="00945AFC">
            <w:pPr>
              <w:spacing w:before="60" w:after="60"/>
              <w:jc w:val="both"/>
              <w:rPr>
                <w:b/>
                <w:sz w:val="28"/>
                <w:szCs w:val="28"/>
              </w:rPr>
            </w:pPr>
            <w:r w:rsidRPr="00A1250E">
              <w:rPr>
                <w:b/>
                <w:sz w:val="28"/>
                <w:szCs w:val="28"/>
              </w:rPr>
              <w:t xml:space="preserve">Totale </w:t>
            </w:r>
          </w:p>
        </w:tc>
        <w:tc>
          <w:tcPr>
            <w:tcW w:w="1540" w:type="dxa"/>
          </w:tcPr>
          <w:p w14:paraId="0E717625" w14:textId="77777777" w:rsidR="00A1250E" w:rsidRPr="0021533C" w:rsidRDefault="00A1250E" w:rsidP="00945AFC">
            <w:pPr>
              <w:spacing w:before="60" w:after="60"/>
              <w:jc w:val="both"/>
              <w:rPr>
                <w:sz w:val="28"/>
                <w:szCs w:val="28"/>
              </w:rPr>
            </w:pPr>
          </w:p>
        </w:tc>
      </w:tr>
      <w:tr w:rsidR="00A1250E" w:rsidRPr="0021533C" w14:paraId="4A69B6D9" w14:textId="4B9DFDBC" w:rsidTr="006E09AB">
        <w:trPr>
          <w:trHeight w:val="420"/>
        </w:trPr>
        <w:tc>
          <w:tcPr>
            <w:tcW w:w="9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BFD27" w14:textId="26748799" w:rsidR="00A1250E" w:rsidRPr="00A1250E" w:rsidRDefault="00A1250E" w:rsidP="00945AFC">
            <w:pPr>
              <w:spacing w:before="60" w:after="60"/>
              <w:jc w:val="both"/>
              <w:rPr>
                <w:b/>
                <w:sz w:val="28"/>
                <w:szCs w:val="28"/>
              </w:rPr>
            </w:pPr>
            <w:r w:rsidRPr="00A1250E">
              <w:rPr>
                <w:b/>
                <w:sz w:val="28"/>
                <w:szCs w:val="28"/>
              </w:rPr>
              <w:t>DISSEMINAZIONE SCIENTIFICA E ATTIVITÀ DI TERZA MISSIONE</w:t>
            </w:r>
            <w:r>
              <w:rPr>
                <w:b/>
                <w:sz w:val="28"/>
                <w:szCs w:val="28"/>
              </w:rPr>
              <w:t xml:space="preserve"> TUTOR</w:t>
            </w:r>
            <w:r w:rsidRPr="0083559D">
              <w:rPr>
                <w:b/>
                <w:sz w:val="28"/>
                <w:szCs w:val="28"/>
                <w:u w:val="single"/>
              </w:rPr>
              <w:t xml:space="preserve"> NELL’ULTIMO QUADRIENNIO</w:t>
            </w:r>
          </w:p>
        </w:tc>
      </w:tr>
      <w:tr w:rsidR="00A1250E" w:rsidRPr="00FE6CF6" w14:paraId="64E90DA1" w14:textId="57CB6B34" w:rsidTr="00A1250E">
        <w:trPr>
          <w:trHeight w:val="594"/>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F0E2" w14:textId="4E7975A1" w:rsidR="00A1250E" w:rsidRPr="0021533C" w:rsidRDefault="003734D3" w:rsidP="00945AFC">
            <w:pPr>
              <w:spacing w:before="60" w:after="60"/>
              <w:jc w:val="both"/>
              <w:rPr>
                <w:sz w:val="28"/>
                <w:szCs w:val="28"/>
              </w:rPr>
            </w:pPr>
            <w:r w:rsidRPr="00A1250E">
              <w:rPr>
                <w:b/>
                <w:sz w:val="28"/>
                <w:szCs w:val="28"/>
              </w:rPr>
              <w:t xml:space="preserve">Tipologia </w:t>
            </w:r>
            <w:r>
              <w:rPr>
                <w:sz w:val="28"/>
                <w:szCs w:val="28"/>
              </w:rPr>
              <w:t xml:space="preserve">(seminario, congresso nazionale, congresso </w:t>
            </w:r>
            <w:r>
              <w:rPr>
                <w:sz w:val="28"/>
                <w:szCs w:val="28"/>
              </w:rPr>
              <w:lastRenderedPageBreak/>
              <w:t>internazionale, attività di terza missione inserita su catalogo IRIS)</w:t>
            </w:r>
          </w:p>
        </w:tc>
        <w:tc>
          <w:tcPr>
            <w:tcW w:w="5873" w:type="dxa"/>
            <w:gridSpan w:val="2"/>
            <w:tcBorders>
              <w:top w:val="single" w:sz="4" w:space="0" w:color="auto"/>
              <w:left w:val="single" w:sz="4" w:space="0" w:color="auto"/>
              <w:bottom w:val="single" w:sz="4" w:space="0" w:color="auto"/>
              <w:right w:val="single" w:sz="4" w:space="0" w:color="auto"/>
            </w:tcBorders>
          </w:tcPr>
          <w:p w14:paraId="178EF979" w14:textId="3F9187BD" w:rsidR="00A1250E" w:rsidRPr="00A1250E" w:rsidRDefault="00A1250E" w:rsidP="00945AFC">
            <w:pPr>
              <w:spacing w:before="60" w:after="60"/>
              <w:jc w:val="both"/>
              <w:rPr>
                <w:b/>
                <w:sz w:val="28"/>
                <w:szCs w:val="28"/>
              </w:rPr>
            </w:pPr>
            <w:r w:rsidRPr="00A1250E">
              <w:rPr>
                <w:b/>
                <w:sz w:val="28"/>
                <w:szCs w:val="28"/>
              </w:rPr>
              <w:lastRenderedPageBreak/>
              <w:t xml:space="preserve">Titolo </w:t>
            </w:r>
          </w:p>
        </w:tc>
        <w:tc>
          <w:tcPr>
            <w:tcW w:w="1540" w:type="dxa"/>
            <w:tcBorders>
              <w:top w:val="single" w:sz="4" w:space="0" w:color="auto"/>
              <w:left w:val="single" w:sz="4" w:space="0" w:color="auto"/>
              <w:bottom w:val="single" w:sz="4" w:space="0" w:color="auto"/>
              <w:right w:val="single" w:sz="4" w:space="0" w:color="auto"/>
            </w:tcBorders>
          </w:tcPr>
          <w:p w14:paraId="31DC7FE9" w14:textId="64684CF0" w:rsidR="00A1250E" w:rsidRPr="0021533C" w:rsidRDefault="00A1250E" w:rsidP="00945AFC">
            <w:pPr>
              <w:spacing w:before="60" w:after="60"/>
              <w:jc w:val="both"/>
              <w:rPr>
                <w:sz w:val="28"/>
                <w:szCs w:val="28"/>
              </w:rPr>
            </w:pPr>
            <w:r>
              <w:rPr>
                <w:sz w:val="28"/>
                <w:szCs w:val="28"/>
              </w:rPr>
              <w:t>Punti</w:t>
            </w:r>
          </w:p>
        </w:tc>
      </w:tr>
      <w:tr w:rsidR="00A1250E" w:rsidRPr="00946AA4" w14:paraId="130F7515" w14:textId="7323D533"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E64D7" w14:textId="39715FCD" w:rsidR="00A1250E" w:rsidRPr="0021533C" w:rsidRDefault="00657137" w:rsidP="00945AFC">
            <w:pPr>
              <w:spacing w:before="60" w:after="60"/>
              <w:jc w:val="both"/>
              <w:rPr>
                <w:sz w:val="28"/>
                <w:szCs w:val="28"/>
              </w:rPr>
            </w:pPr>
            <w:r>
              <w:rPr>
                <w:sz w:val="28"/>
                <w:szCs w:val="28"/>
              </w:rPr>
              <w:t>Congresso internazionale</w:t>
            </w:r>
          </w:p>
        </w:tc>
        <w:tc>
          <w:tcPr>
            <w:tcW w:w="5873" w:type="dxa"/>
            <w:gridSpan w:val="2"/>
            <w:tcBorders>
              <w:top w:val="single" w:sz="4" w:space="0" w:color="auto"/>
              <w:left w:val="single" w:sz="4" w:space="0" w:color="auto"/>
              <w:bottom w:val="single" w:sz="4" w:space="0" w:color="auto"/>
              <w:right w:val="single" w:sz="4" w:space="0" w:color="auto"/>
            </w:tcBorders>
          </w:tcPr>
          <w:p w14:paraId="5BCEE3F6" w14:textId="024F3C0B" w:rsidR="00A1250E" w:rsidRPr="00102F9D" w:rsidRDefault="00102F9D" w:rsidP="00945AFC">
            <w:pPr>
              <w:spacing w:before="60" w:after="60"/>
              <w:jc w:val="both"/>
              <w:rPr>
                <w:sz w:val="28"/>
                <w:szCs w:val="28"/>
                <w:lang w:val="en-US"/>
              </w:rPr>
            </w:pPr>
            <w:proofErr w:type="spellStart"/>
            <w:r w:rsidRPr="00102F9D">
              <w:rPr>
                <w:sz w:val="28"/>
                <w:szCs w:val="28"/>
                <w:lang w:val="en-US"/>
              </w:rPr>
              <w:t>Relazione</w:t>
            </w:r>
            <w:proofErr w:type="spellEnd"/>
            <w:r w:rsidRPr="00102F9D">
              <w:rPr>
                <w:sz w:val="28"/>
                <w:szCs w:val="28"/>
                <w:lang w:val="en-US"/>
              </w:rPr>
              <w:t xml:space="preserve"> dal </w:t>
            </w:r>
            <w:proofErr w:type="spellStart"/>
            <w:r w:rsidRPr="00102F9D">
              <w:rPr>
                <w:sz w:val="28"/>
                <w:szCs w:val="28"/>
                <w:lang w:val="en-US"/>
              </w:rPr>
              <w:t>titolo</w:t>
            </w:r>
            <w:proofErr w:type="spellEnd"/>
            <w:r w:rsidRPr="00102F9D">
              <w:rPr>
                <w:sz w:val="28"/>
                <w:szCs w:val="28"/>
                <w:lang w:val="en-US"/>
              </w:rPr>
              <w:t xml:space="preserve">: “Non </w:t>
            </w:r>
            <w:proofErr w:type="gramStart"/>
            <w:r w:rsidRPr="00102F9D">
              <w:rPr>
                <w:sz w:val="28"/>
                <w:szCs w:val="28"/>
                <w:lang w:val="en-US"/>
              </w:rPr>
              <w:t>BCR::</w:t>
            </w:r>
            <w:proofErr w:type="gramEnd"/>
            <w:r w:rsidRPr="00102F9D">
              <w:rPr>
                <w:sz w:val="28"/>
                <w:szCs w:val="28"/>
                <w:lang w:val="en-US"/>
              </w:rPr>
              <w:t>ABL1 mutations in CML: do they matter?”</w:t>
            </w:r>
            <w:r w:rsidRPr="00102F9D">
              <w:rPr>
                <w:b/>
                <w:bCs/>
                <w:sz w:val="28"/>
                <w:szCs w:val="28"/>
                <w:lang w:val="en-US"/>
              </w:rPr>
              <w:t xml:space="preserve"> </w:t>
            </w:r>
            <w:r>
              <w:rPr>
                <w:sz w:val="28"/>
                <w:szCs w:val="28"/>
                <w:lang w:val="en-US"/>
              </w:rPr>
              <w:t>a</w:t>
            </w:r>
            <w:r w:rsidRPr="00102F9D">
              <w:rPr>
                <w:sz w:val="28"/>
                <w:szCs w:val="28"/>
                <w:lang w:val="en-US"/>
              </w:rPr>
              <w:t xml:space="preserve">l </w:t>
            </w:r>
            <w:r>
              <w:rPr>
                <w:sz w:val="28"/>
                <w:szCs w:val="28"/>
                <w:lang w:val="en-US"/>
              </w:rPr>
              <w:t>10</w:t>
            </w:r>
            <w:r w:rsidRPr="00102F9D">
              <w:rPr>
                <w:sz w:val="28"/>
                <w:szCs w:val="28"/>
                <w:vertAlign w:val="superscript"/>
                <w:lang w:val="en-US"/>
              </w:rPr>
              <w:t>th</w:t>
            </w:r>
            <w:r>
              <w:rPr>
                <w:sz w:val="28"/>
                <w:szCs w:val="28"/>
                <w:lang w:val="en-US"/>
              </w:rPr>
              <w:t xml:space="preserve"> Annual Meeting of the </w:t>
            </w:r>
            <w:r w:rsidRPr="00102F9D">
              <w:rPr>
                <w:sz w:val="28"/>
                <w:szCs w:val="28"/>
                <w:lang w:val="en-US"/>
              </w:rPr>
              <w:t>Society of Hematological Oncology (SOHO) 2022 (Houston, September 28</w:t>
            </w:r>
            <w:r w:rsidR="008178D4">
              <w:rPr>
                <w:sz w:val="28"/>
                <w:szCs w:val="28"/>
                <w:lang w:val="en-US"/>
              </w:rPr>
              <w:t xml:space="preserve"> -</w:t>
            </w:r>
            <w:r w:rsidRPr="00102F9D">
              <w:rPr>
                <w:sz w:val="28"/>
                <w:szCs w:val="28"/>
                <w:lang w:val="en-US"/>
              </w:rPr>
              <w:t xml:space="preserve"> October 1, </w:t>
            </w:r>
            <w:r>
              <w:rPr>
                <w:sz w:val="28"/>
                <w:szCs w:val="28"/>
                <w:lang w:val="en-US"/>
              </w:rPr>
              <w:t>2022)</w:t>
            </w:r>
          </w:p>
        </w:tc>
        <w:tc>
          <w:tcPr>
            <w:tcW w:w="1540" w:type="dxa"/>
            <w:tcBorders>
              <w:top w:val="single" w:sz="4" w:space="0" w:color="auto"/>
              <w:left w:val="single" w:sz="4" w:space="0" w:color="auto"/>
              <w:bottom w:val="single" w:sz="4" w:space="0" w:color="auto"/>
              <w:right w:val="single" w:sz="4" w:space="0" w:color="auto"/>
            </w:tcBorders>
          </w:tcPr>
          <w:p w14:paraId="40B6F146" w14:textId="77777777" w:rsidR="00A1250E" w:rsidRPr="00102F9D" w:rsidRDefault="00A1250E" w:rsidP="00945AFC">
            <w:pPr>
              <w:spacing w:before="60" w:after="60"/>
              <w:jc w:val="both"/>
              <w:rPr>
                <w:sz w:val="28"/>
                <w:szCs w:val="28"/>
                <w:lang w:val="en-US"/>
              </w:rPr>
            </w:pPr>
          </w:p>
        </w:tc>
      </w:tr>
      <w:tr w:rsidR="00A1250E" w:rsidRPr="00102F9D" w14:paraId="2412FC2E" w14:textId="4552EC10"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FAFAA" w14:textId="1309B548" w:rsidR="00A1250E" w:rsidRPr="0021533C" w:rsidRDefault="00657137" w:rsidP="00945AFC">
            <w:pPr>
              <w:spacing w:before="60" w:after="60"/>
              <w:jc w:val="both"/>
              <w:rPr>
                <w:sz w:val="28"/>
                <w:szCs w:val="28"/>
              </w:rPr>
            </w:pPr>
            <w:r>
              <w:rPr>
                <w:sz w:val="28"/>
                <w:szCs w:val="28"/>
              </w:rPr>
              <w:t>Congresso internazionale</w:t>
            </w:r>
          </w:p>
        </w:tc>
        <w:tc>
          <w:tcPr>
            <w:tcW w:w="5873" w:type="dxa"/>
            <w:gridSpan w:val="2"/>
            <w:tcBorders>
              <w:top w:val="single" w:sz="4" w:space="0" w:color="auto"/>
              <w:left w:val="single" w:sz="4" w:space="0" w:color="auto"/>
              <w:bottom w:val="single" w:sz="4" w:space="0" w:color="auto"/>
              <w:right w:val="single" w:sz="4" w:space="0" w:color="auto"/>
            </w:tcBorders>
          </w:tcPr>
          <w:p w14:paraId="10B991DF" w14:textId="767B6C0D" w:rsidR="00A1250E" w:rsidRPr="00102F9D" w:rsidRDefault="00102F9D" w:rsidP="00945AFC">
            <w:pPr>
              <w:spacing w:before="60" w:after="60"/>
              <w:jc w:val="both"/>
              <w:rPr>
                <w:sz w:val="28"/>
                <w:szCs w:val="28"/>
                <w:lang w:val="en-US"/>
              </w:rPr>
            </w:pPr>
            <w:proofErr w:type="spellStart"/>
            <w:r>
              <w:rPr>
                <w:sz w:val="28"/>
                <w:szCs w:val="28"/>
                <w:lang w:val="en-US"/>
              </w:rPr>
              <w:t>Relazione</w:t>
            </w:r>
            <w:proofErr w:type="spellEnd"/>
            <w:r>
              <w:rPr>
                <w:sz w:val="28"/>
                <w:szCs w:val="28"/>
                <w:lang w:val="en-US"/>
              </w:rPr>
              <w:t xml:space="preserve"> dal </w:t>
            </w:r>
            <w:proofErr w:type="spellStart"/>
            <w:r>
              <w:rPr>
                <w:sz w:val="28"/>
                <w:szCs w:val="28"/>
                <w:lang w:val="en-US"/>
              </w:rPr>
              <w:t>titolo</w:t>
            </w:r>
            <w:proofErr w:type="spellEnd"/>
            <w:r>
              <w:rPr>
                <w:sz w:val="28"/>
                <w:szCs w:val="28"/>
                <w:lang w:val="en-US"/>
              </w:rPr>
              <w:t xml:space="preserve">: “Mutational landscape in CML” al </w:t>
            </w:r>
            <w:r w:rsidRPr="00102F9D">
              <w:rPr>
                <w:sz w:val="28"/>
                <w:szCs w:val="28"/>
                <w:lang w:val="en-US"/>
              </w:rPr>
              <w:t>2022 Korean Society of Hematology International Con</w:t>
            </w:r>
            <w:r>
              <w:rPr>
                <w:sz w:val="28"/>
                <w:szCs w:val="28"/>
                <w:lang w:val="en-US"/>
              </w:rPr>
              <w:t>ference (ICKSH)</w:t>
            </w:r>
            <w:r w:rsidR="008178D4">
              <w:rPr>
                <w:sz w:val="28"/>
                <w:szCs w:val="28"/>
                <w:lang w:val="en-US"/>
              </w:rPr>
              <w:t xml:space="preserve"> (Seoul, March 31 – April 2, 2022)</w:t>
            </w:r>
          </w:p>
        </w:tc>
        <w:tc>
          <w:tcPr>
            <w:tcW w:w="1540" w:type="dxa"/>
            <w:tcBorders>
              <w:top w:val="single" w:sz="4" w:space="0" w:color="auto"/>
              <w:left w:val="single" w:sz="4" w:space="0" w:color="auto"/>
              <w:bottom w:val="single" w:sz="4" w:space="0" w:color="auto"/>
              <w:right w:val="single" w:sz="4" w:space="0" w:color="auto"/>
            </w:tcBorders>
          </w:tcPr>
          <w:p w14:paraId="1936EF4B" w14:textId="77777777" w:rsidR="00A1250E" w:rsidRPr="00102F9D" w:rsidRDefault="00A1250E" w:rsidP="00945AFC">
            <w:pPr>
              <w:spacing w:before="60" w:after="60"/>
              <w:jc w:val="both"/>
              <w:rPr>
                <w:sz w:val="28"/>
                <w:szCs w:val="28"/>
                <w:lang w:val="en-US"/>
              </w:rPr>
            </w:pPr>
          </w:p>
        </w:tc>
      </w:tr>
      <w:tr w:rsidR="00A1250E" w:rsidRPr="00946AA4" w14:paraId="2EEEE8E1" w14:textId="6B86BCAD"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B9063" w14:textId="1983E71E" w:rsidR="00A1250E" w:rsidRPr="0021533C" w:rsidRDefault="00657137" w:rsidP="00945AFC">
            <w:pPr>
              <w:spacing w:before="60" w:after="60"/>
              <w:jc w:val="both"/>
              <w:rPr>
                <w:sz w:val="28"/>
                <w:szCs w:val="28"/>
              </w:rPr>
            </w:pPr>
            <w:r>
              <w:rPr>
                <w:sz w:val="28"/>
                <w:szCs w:val="28"/>
              </w:rPr>
              <w:t>Congresso internazionale</w:t>
            </w:r>
          </w:p>
        </w:tc>
        <w:tc>
          <w:tcPr>
            <w:tcW w:w="5873" w:type="dxa"/>
            <w:gridSpan w:val="2"/>
            <w:tcBorders>
              <w:top w:val="single" w:sz="4" w:space="0" w:color="auto"/>
              <w:left w:val="single" w:sz="4" w:space="0" w:color="auto"/>
              <w:bottom w:val="single" w:sz="4" w:space="0" w:color="auto"/>
              <w:right w:val="single" w:sz="4" w:space="0" w:color="auto"/>
            </w:tcBorders>
          </w:tcPr>
          <w:p w14:paraId="273927DF" w14:textId="13A8719C" w:rsidR="00A1250E" w:rsidRPr="00102F9D" w:rsidRDefault="00102F9D" w:rsidP="00945AFC">
            <w:pPr>
              <w:spacing w:before="60" w:after="60"/>
              <w:jc w:val="both"/>
              <w:rPr>
                <w:sz w:val="28"/>
                <w:szCs w:val="28"/>
                <w:lang w:val="en-US"/>
              </w:rPr>
            </w:pPr>
            <w:proofErr w:type="spellStart"/>
            <w:r w:rsidRPr="00102F9D">
              <w:rPr>
                <w:sz w:val="28"/>
                <w:szCs w:val="28"/>
                <w:lang w:val="en-US"/>
              </w:rPr>
              <w:t>Relazione</w:t>
            </w:r>
            <w:proofErr w:type="spellEnd"/>
            <w:r w:rsidRPr="00102F9D">
              <w:rPr>
                <w:sz w:val="28"/>
                <w:szCs w:val="28"/>
                <w:lang w:val="en-US"/>
              </w:rPr>
              <w:t xml:space="preserve"> dal </w:t>
            </w:r>
            <w:proofErr w:type="spellStart"/>
            <w:r w:rsidRPr="00102F9D">
              <w:rPr>
                <w:sz w:val="28"/>
                <w:szCs w:val="28"/>
                <w:lang w:val="en-US"/>
              </w:rPr>
              <w:t>titolo</w:t>
            </w:r>
            <w:proofErr w:type="spellEnd"/>
            <w:r w:rsidRPr="00102F9D">
              <w:rPr>
                <w:sz w:val="28"/>
                <w:szCs w:val="28"/>
                <w:lang w:val="en-US"/>
              </w:rPr>
              <w:t>: “Current understanding on mutation assessment and significance in CML</w:t>
            </w:r>
            <w:r>
              <w:rPr>
                <w:sz w:val="28"/>
                <w:szCs w:val="28"/>
                <w:lang w:val="en-US"/>
              </w:rPr>
              <w:t xml:space="preserve">” </w:t>
            </w:r>
            <w:proofErr w:type="spellStart"/>
            <w:r>
              <w:rPr>
                <w:sz w:val="28"/>
                <w:szCs w:val="28"/>
                <w:lang w:val="en-US"/>
              </w:rPr>
              <w:t>al</w:t>
            </w:r>
            <w:r w:rsidR="008178D4">
              <w:rPr>
                <w:sz w:val="28"/>
                <w:szCs w:val="28"/>
                <w:lang w:val="en-US"/>
              </w:rPr>
              <w:t>la</w:t>
            </w:r>
            <w:proofErr w:type="spellEnd"/>
            <w:r w:rsidR="008178D4">
              <w:rPr>
                <w:sz w:val="28"/>
                <w:szCs w:val="28"/>
                <w:lang w:val="en-US"/>
              </w:rPr>
              <w:t xml:space="preserve"> 24</w:t>
            </w:r>
            <w:r w:rsidR="008178D4" w:rsidRPr="008178D4">
              <w:rPr>
                <w:sz w:val="28"/>
                <w:szCs w:val="28"/>
                <w:vertAlign w:val="superscript"/>
                <w:lang w:val="en-US"/>
              </w:rPr>
              <w:t>th</w:t>
            </w:r>
            <w:r w:rsidR="008178D4">
              <w:rPr>
                <w:sz w:val="28"/>
                <w:szCs w:val="28"/>
                <w:lang w:val="en-US"/>
              </w:rPr>
              <w:t xml:space="preserve"> Annual John Goldman Conference on Chronic Myeloid Leukemia: Biology and Therapy </w:t>
            </w:r>
            <w:proofErr w:type="spellStart"/>
            <w:r w:rsidR="008178D4">
              <w:rPr>
                <w:sz w:val="28"/>
                <w:szCs w:val="28"/>
                <w:lang w:val="en-US"/>
              </w:rPr>
              <w:t>organizzata</w:t>
            </w:r>
            <w:proofErr w:type="spellEnd"/>
            <w:r w:rsidR="008178D4">
              <w:rPr>
                <w:sz w:val="28"/>
                <w:szCs w:val="28"/>
                <w:lang w:val="en-US"/>
              </w:rPr>
              <w:t xml:space="preserve"> </w:t>
            </w:r>
            <w:proofErr w:type="spellStart"/>
            <w:r w:rsidR="008178D4">
              <w:rPr>
                <w:sz w:val="28"/>
                <w:szCs w:val="28"/>
                <w:lang w:val="en-US"/>
              </w:rPr>
              <w:t>dalla</w:t>
            </w:r>
            <w:proofErr w:type="spellEnd"/>
            <w:r w:rsidR="008178D4">
              <w:rPr>
                <w:sz w:val="28"/>
                <w:szCs w:val="28"/>
                <w:lang w:val="en-US"/>
              </w:rPr>
              <w:t xml:space="preserve"> European School of Hematology (ESH</w:t>
            </w:r>
            <w:proofErr w:type="gramStart"/>
            <w:r w:rsidR="008178D4">
              <w:rPr>
                <w:sz w:val="28"/>
                <w:szCs w:val="28"/>
                <w:lang w:val="en-US"/>
              </w:rPr>
              <w:t>)(</w:t>
            </w:r>
            <w:proofErr w:type="spellStart"/>
            <w:proofErr w:type="gramEnd"/>
            <w:r w:rsidR="008178D4">
              <w:rPr>
                <w:sz w:val="28"/>
                <w:szCs w:val="28"/>
                <w:lang w:val="en-US"/>
              </w:rPr>
              <w:t>Mandelieu</w:t>
            </w:r>
            <w:proofErr w:type="spellEnd"/>
            <w:r w:rsidR="008178D4">
              <w:rPr>
                <w:sz w:val="28"/>
                <w:szCs w:val="28"/>
                <w:lang w:val="en-US"/>
              </w:rPr>
              <w:t>, October 21-23, 2022)</w:t>
            </w:r>
          </w:p>
        </w:tc>
        <w:tc>
          <w:tcPr>
            <w:tcW w:w="1540" w:type="dxa"/>
            <w:tcBorders>
              <w:top w:val="single" w:sz="4" w:space="0" w:color="auto"/>
              <w:left w:val="single" w:sz="4" w:space="0" w:color="auto"/>
              <w:bottom w:val="single" w:sz="4" w:space="0" w:color="auto"/>
              <w:right w:val="single" w:sz="4" w:space="0" w:color="auto"/>
            </w:tcBorders>
          </w:tcPr>
          <w:p w14:paraId="2B012E09" w14:textId="77777777" w:rsidR="00A1250E" w:rsidRPr="00102F9D" w:rsidRDefault="00A1250E" w:rsidP="00945AFC">
            <w:pPr>
              <w:spacing w:before="60" w:after="60"/>
              <w:jc w:val="both"/>
              <w:rPr>
                <w:sz w:val="28"/>
                <w:szCs w:val="28"/>
                <w:lang w:val="en-US"/>
              </w:rPr>
            </w:pPr>
          </w:p>
        </w:tc>
      </w:tr>
      <w:tr w:rsidR="00A1250E" w:rsidRPr="00946AA4" w14:paraId="45E6EDC6" w14:textId="77777777" w:rsidTr="00A1250E">
        <w:trPr>
          <w:trHeight w:val="592"/>
        </w:trPr>
        <w:tc>
          <w:tcPr>
            <w:tcW w:w="2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80273" w14:textId="44069956" w:rsidR="00A1250E" w:rsidRPr="00A1250E" w:rsidRDefault="00657137" w:rsidP="00945AFC">
            <w:pPr>
              <w:spacing w:before="60" w:after="60"/>
              <w:jc w:val="both"/>
              <w:rPr>
                <w:i/>
                <w:sz w:val="28"/>
                <w:szCs w:val="28"/>
              </w:rPr>
            </w:pPr>
            <w:r>
              <w:rPr>
                <w:sz w:val="28"/>
                <w:szCs w:val="28"/>
              </w:rPr>
              <w:t>Congresso internazionale</w:t>
            </w:r>
          </w:p>
        </w:tc>
        <w:tc>
          <w:tcPr>
            <w:tcW w:w="5873" w:type="dxa"/>
            <w:gridSpan w:val="2"/>
            <w:tcBorders>
              <w:top w:val="single" w:sz="4" w:space="0" w:color="auto"/>
              <w:left w:val="single" w:sz="4" w:space="0" w:color="auto"/>
              <w:bottom w:val="single" w:sz="4" w:space="0" w:color="auto"/>
              <w:right w:val="single" w:sz="4" w:space="0" w:color="auto"/>
            </w:tcBorders>
          </w:tcPr>
          <w:p w14:paraId="2542D277" w14:textId="68800587" w:rsidR="00A1250E" w:rsidRPr="008178D4" w:rsidRDefault="008178D4" w:rsidP="00945AFC">
            <w:pPr>
              <w:spacing w:before="60" w:after="60"/>
              <w:jc w:val="both"/>
              <w:rPr>
                <w:sz w:val="28"/>
                <w:szCs w:val="28"/>
                <w:lang w:val="en-US"/>
              </w:rPr>
            </w:pPr>
            <w:proofErr w:type="spellStart"/>
            <w:r>
              <w:rPr>
                <w:sz w:val="28"/>
                <w:szCs w:val="28"/>
                <w:lang w:val="en-US"/>
              </w:rPr>
              <w:t>Relazione</w:t>
            </w:r>
            <w:proofErr w:type="spellEnd"/>
            <w:r>
              <w:rPr>
                <w:sz w:val="28"/>
                <w:szCs w:val="28"/>
                <w:lang w:val="en-US"/>
              </w:rPr>
              <w:t xml:space="preserve"> dal </w:t>
            </w:r>
            <w:proofErr w:type="spellStart"/>
            <w:r>
              <w:rPr>
                <w:sz w:val="28"/>
                <w:szCs w:val="28"/>
                <w:lang w:val="en-US"/>
              </w:rPr>
              <w:t>titolo</w:t>
            </w:r>
            <w:proofErr w:type="spellEnd"/>
            <w:r>
              <w:rPr>
                <w:sz w:val="28"/>
                <w:szCs w:val="28"/>
                <w:lang w:val="en-US"/>
              </w:rPr>
              <w:t>: “</w:t>
            </w:r>
            <w:r w:rsidRPr="008178D4">
              <w:rPr>
                <w:sz w:val="28"/>
                <w:szCs w:val="28"/>
                <w:lang w:val="en-US"/>
              </w:rPr>
              <w:t>Molecular Testing in CML Patients in 2021: between Old and New Tools</w:t>
            </w:r>
            <w:r>
              <w:rPr>
                <w:sz w:val="28"/>
                <w:szCs w:val="28"/>
                <w:lang w:val="en-US"/>
              </w:rPr>
              <w:t xml:space="preserve">” al </w:t>
            </w:r>
            <w:proofErr w:type="spellStart"/>
            <w:r>
              <w:rPr>
                <w:sz w:val="28"/>
                <w:szCs w:val="28"/>
                <w:lang w:val="en-US"/>
              </w:rPr>
              <w:t>a</w:t>
            </w:r>
            <w:r w:rsidRPr="00102F9D">
              <w:rPr>
                <w:sz w:val="28"/>
                <w:szCs w:val="28"/>
                <w:lang w:val="en-US"/>
              </w:rPr>
              <w:t>l</w:t>
            </w:r>
            <w:proofErr w:type="spellEnd"/>
            <w:r w:rsidRPr="00102F9D">
              <w:rPr>
                <w:sz w:val="28"/>
                <w:szCs w:val="28"/>
                <w:lang w:val="en-US"/>
              </w:rPr>
              <w:t xml:space="preserve"> </w:t>
            </w:r>
            <w:r>
              <w:rPr>
                <w:sz w:val="28"/>
                <w:szCs w:val="28"/>
                <w:lang w:val="en-US"/>
              </w:rPr>
              <w:t>9</w:t>
            </w:r>
            <w:r w:rsidRPr="00102F9D">
              <w:rPr>
                <w:sz w:val="28"/>
                <w:szCs w:val="28"/>
                <w:vertAlign w:val="superscript"/>
                <w:lang w:val="en-US"/>
              </w:rPr>
              <w:t>h</w:t>
            </w:r>
            <w:r>
              <w:rPr>
                <w:sz w:val="28"/>
                <w:szCs w:val="28"/>
                <w:lang w:val="en-US"/>
              </w:rPr>
              <w:t xml:space="preserve"> Annual Meeting of the </w:t>
            </w:r>
            <w:r w:rsidRPr="00102F9D">
              <w:rPr>
                <w:sz w:val="28"/>
                <w:szCs w:val="28"/>
                <w:lang w:val="en-US"/>
              </w:rPr>
              <w:t>Society of Hematological Oncology (SOHO) 202</w:t>
            </w:r>
            <w:r>
              <w:rPr>
                <w:sz w:val="28"/>
                <w:szCs w:val="28"/>
                <w:lang w:val="en-US"/>
              </w:rPr>
              <w:t>1</w:t>
            </w:r>
            <w:r w:rsidRPr="00102F9D">
              <w:rPr>
                <w:sz w:val="28"/>
                <w:szCs w:val="28"/>
                <w:lang w:val="en-US"/>
              </w:rPr>
              <w:t xml:space="preserve"> (</w:t>
            </w:r>
            <w:r>
              <w:rPr>
                <w:sz w:val="28"/>
                <w:szCs w:val="28"/>
                <w:lang w:val="en-US"/>
              </w:rPr>
              <w:t xml:space="preserve">virtual; </w:t>
            </w:r>
            <w:r w:rsidRPr="00102F9D">
              <w:rPr>
                <w:sz w:val="28"/>
                <w:szCs w:val="28"/>
                <w:lang w:val="en-US"/>
              </w:rPr>
              <w:t xml:space="preserve">September </w:t>
            </w:r>
            <w:r>
              <w:rPr>
                <w:sz w:val="28"/>
                <w:szCs w:val="28"/>
                <w:lang w:val="en-US"/>
              </w:rPr>
              <w:t>8-11</w:t>
            </w:r>
            <w:r w:rsidRPr="00102F9D">
              <w:rPr>
                <w:sz w:val="28"/>
                <w:szCs w:val="28"/>
                <w:lang w:val="en-US"/>
              </w:rPr>
              <w:t>, 202</w:t>
            </w:r>
            <w:r>
              <w:rPr>
                <w:sz w:val="28"/>
                <w:szCs w:val="28"/>
                <w:lang w:val="en-US"/>
              </w:rPr>
              <w:t>1)</w:t>
            </w:r>
          </w:p>
        </w:tc>
        <w:tc>
          <w:tcPr>
            <w:tcW w:w="1540" w:type="dxa"/>
            <w:tcBorders>
              <w:top w:val="single" w:sz="4" w:space="0" w:color="auto"/>
              <w:left w:val="single" w:sz="4" w:space="0" w:color="auto"/>
              <w:bottom w:val="single" w:sz="4" w:space="0" w:color="auto"/>
              <w:right w:val="single" w:sz="4" w:space="0" w:color="auto"/>
            </w:tcBorders>
          </w:tcPr>
          <w:p w14:paraId="0F90ED29" w14:textId="77777777" w:rsidR="00A1250E" w:rsidRPr="008178D4" w:rsidRDefault="00A1250E" w:rsidP="00945AFC">
            <w:pPr>
              <w:spacing w:before="60" w:after="60"/>
              <w:jc w:val="both"/>
              <w:rPr>
                <w:sz w:val="28"/>
                <w:szCs w:val="28"/>
                <w:lang w:val="en-US"/>
              </w:rPr>
            </w:pPr>
          </w:p>
        </w:tc>
      </w:tr>
      <w:tr w:rsidR="00A1250E" w:rsidRPr="00FE6CF6" w14:paraId="03208768" w14:textId="77777777" w:rsidTr="00BD1D4A">
        <w:trPr>
          <w:trHeight w:val="592"/>
        </w:trPr>
        <w:tc>
          <w:tcPr>
            <w:tcW w:w="80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B0A950" w14:textId="21AADF74" w:rsidR="00A1250E" w:rsidRPr="00A1250E" w:rsidRDefault="00A1250E" w:rsidP="00945AFC">
            <w:pPr>
              <w:spacing w:before="60" w:after="60"/>
              <w:jc w:val="both"/>
              <w:rPr>
                <w:b/>
                <w:sz w:val="28"/>
                <w:szCs w:val="28"/>
              </w:rPr>
            </w:pPr>
            <w:r w:rsidRPr="00A1250E">
              <w:rPr>
                <w:b/>
                <w:sz w:val="28"/>
                <w:szCs w:val="28"/>
              </w:rPr>
              <w:t>Totale</w:t>
            </w:r>
          </w:p>
        </w:tc>
        <w:tc>
          <w:tcPr>
            <w:tcW w:w="1540" w:type="dxa"/>
            <w:tcBorders>
              <w:top w:val="single" w:sz="4" w:space="0" w:color="auto"/>
              <w:left w:val="single" w:sz="4" w:space="0" w:color="auto"/>
              <w:bottom w:val="single" w:sz="4" w:space="0" w:color="auto"/>
              <w:right w:val="single" w:sz="4" w:space="0" w:color="auto"/>
            </w:tcBorders>
          </w:tcPr>
          <w:p w14:paraId="4C5C11B7" w14:textId="77777777" w:rsidR="00A1250E" w:rsidRPr="0021533C" w:rsidRDefault="00A1250E" w:rsidP="00945AFC">
            <w:pPr>
              <w:spacing w:before="60" w:after="60"/>
              <w:jc w:val="both"/>
              <w:rPr>
                <w:sz w:val="28"/>
                <w:szCs w:val="28"/>
              </w:rPr>
            </w:pPr>
          </w:p>
        </w:tc>
      </w:tr>
    </w:tbl>
    <w:p w14:paraId="12A25FCE" w14:textId="77777777" w:rsidR="008F7FAD"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6451"/>
      </w:tblGrid>
      <w:tr w:rsidR="00A231C4" w:rsidRPr="00FE6CF6" w14:paraId="0D31E12F" w14:textId="77777777" w:rsidTr="00D90C0A">
        <w:trPr>
          <w:trHeight w:val="594"/>
        </w:trPr>
        <w:tc>
          <w:tcPr>
            <w:tcW w:w="3227" w:type="dxa"/>
            <w:vMerge w:val="restart"/>
            <w:tcBorders>
              <w:top w:val="single" w:sz="4" w:space="0" w:color="auto"/>
              <w:left w:val="single" w:sz="4" w:space="0" w:color="auto"/>
              <w:right w:val="single" w:sz="4" w:space="0" w:color="auto"/>
            </w:tcBorders>
            <w:shd w:val="clear" w:color="auto" w:fill="auto"/>
            <w:vAlign w:val="center"/>
          </w:tcPr>
          <w:p w14:paraId="7A421083" w14:textId="77777777" w:rsidR="00A231C4" w:rsidRPr="00460601" w:rsidRDefault="00A231C4" w:rsidP="00D90C0A">
            <w:pPr>
              <w:spacing w:before="60" w:after="60"/>
              <w:jc w:val="both"/>
              <w:rPr>
                <w:b/>
                <w:sz w:val="28"/>
                <w:szCs w:val="28"/>
              </w:rPr>
            </w:pPr>
            <w:r w:rsidRPr="00460601">
              <w:rPr>
                <w:b/>
                <w:sz w:val="28"/>
                <w:szCs w:val="28"/>
              </w:rPr>
              <w:t>Commissione proposta</w:t>
            </w:r>
          </w:p>
          <w:p w14:paraId="53807803" w14:textId="77777777" w:rsidR="00A231C4" w:rsidRPr="00460601" w:rsidRDefault="00A231C4" w:rsidP="00D90C0A">
            <w:pPr>
              <w:spacing w:before="60" w:after="60"/>
              <w:jc w:val="both"/>
              <w:rPr>
                <w:sz w:val="28"/>
                <w:szCs w:val="28"/>
              </w:rPr>
            </w:pPr>
            <w:r w:rsidRPr="00460601">
              <w:rPr>
                <w:sz w:val="28"/>
                <w:szCs w:val="28"/>
              </w:rPr>
              <w:t xml:space="preserve">3 commissari + </w:t>
            </w:r>
          </w:p>
          <w:p w14:paraId="0288DFD6" w14:textId="77777777" w:rsidR="00A231C4" w:rsidRPr="00FE6CF6" w:rsidRDefault="00A231C4" w:rsidP="00D90C0A">
            <w:pPr>
              <w:spacing w:before="60" w:after="60"/>
              <w:jc w:val="both"/>
              <w:rPr>
                <w:sz w:val="28"/>
                <w:szCs w:val="28"/>
              </w:rPr>
            </w:pPr>
            <w:r w:rsidRPr="00460601">
              <w:rPr>
                <w:sz w:val="28"/>
                <w:szCs w:val="28"/>
              </w:rPr>
              <w:t>1 supplente</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57FFD8ED" w14:textId="5C5CFFC3" w:rsidR="00A231C4" w:rsidRPr="0021533C" w:rsidRDefault="00D30F45" w:rsidP="00D90C0A">
            <w:pPr>
              <w:spacing w:before="60" w:after="60"/>
              <w:jc w:val="both"/>
              <w:rPr>
                <w:sz w:val="28"/>
                <w:szCs w:val="28"/>
              </w:rPr>
            </w:pPr>
            <w:r>
              <w:rPr>
                <w:sz w:val="28"/>
                <w:szCs w:val="28"/>
              </w:rPr>
              <w:t>Prof.ssa Simona Soverini</w:t>
            </w:r>
          </w:p>
        </w:tc>
      </w:tr>
      <w:tr w:rsidR="00A231C4" w:rsidRPr="00FE6CF6" w14:paraId="4941E423"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4D986D77"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BAC3A35" w14:textId="3E9EFE29" w:rsidR="00A231C4" w:rsidRPr="0021533C" w:rsidRDefault="00D30F45" w:rsidP="00D90C0A">
            <w:pPr>
              <w:spacing w:before="60" w:after="60"/>
              <w:jc w:val="both"/>
              <w:rPr>
                <w:sz w:val="28"/>
                <w:szCs w:val="28"/>
              </w:rPr>
            </w:pPr>
            <w:r>
              <w:rPr>
                <w:sz w:val="28"/>
                <w:szCs w:val="28"/>
              </w:rPr>
              <w:t>Dott.ssa Lucia Catani</w:t>
            </w:r>
          </w:p>
        </w:tc>
      </w:tr>
      <w:tr w:rsidR="00A231C4" w:rsidRPr="00FE6CF6" w14:paraId="38452A05"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7FD9E74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58B9E4F" w14:textId="7847FBA8" w:rsidR="00A231C4" w:rsidRPr="0021533C" w:rsidRDefault="00D30F45" w:rsidP="00D90C0A">
            <w:pPr>
              <w:spacing w:before="60" w:after="60"/>
              <w:jc w:val="both"/>
              <w:rPr>
                <w:sz w:val="28"/>
                <w:szCs w:val="28"/>
              </w:rPr>
            </w:pPr>
            <w:r w:rsidRPr="00030847">
              <w:rPr>
                <w:sz w:val="28"/>
                <w:szCs w:val="28"/>
              </w:rPr>
              <w:t xml:space="preserve">Dott.ssa Cristina </w:t>
            </w:r>
            <w:proofErr w:type="spellStart"/>
            <w:r w:rsidRPr="00030847">
              <w:rPr>
                <w:sz w:val="28"/>
                <w:szCs w:val="28"/>
              </w:rPr>
              <w:t>Papayannidis</w:t>
            </w:r>
            <w:proofErr w:type="spellEnd"/>
          </w:p>
        </w:tc>
      </w:tr>
      <w:tr w:rsidR="00A231C4" w:rsidRPr="00FE6CF6" w14:paraId="4E61F104"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5069DC2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0830ACCD" w14:textId="522898B4" w:rsidR="00A231C4" w:rsidRPr="0021533C" w:rsidRDefault="00D30F45" w:rsidP="00D90C0A">
            <w:pPr>
              <w:spacing w:before="60" w:after="60"/>
              <w:jc w:val="both"/>
              <w:rPr>
                <w:sz w:val="28"/>
                <w:szCs w:val="28"/>
              </w:rPr>
            </w:pPr>
            <w:r>
              <w:rPr>
                <w:sz w:val="28"/>
                <w:szCs w:val="28"/>
              </w:rPr>
              <w:t>Prof.ssa Nicoletta Testoni</w:t>
            </w:r>
          </w:p>
        </w:tc>
      </w:tr>
    </w:tbl>
    <w:p w14:paraId="1E67F74E" w14:textId="77777777" w:rsidR="00A231C4" w:rsidRDefault="00A231C4" w:rsidP="008F7FAD">
      <w:pPr>
        <w:jc w:val="both"/>
        <w:rPr>
          <w:b/>
          <w:sz w:val="16"/>
          <w:szCs w:val="16"/>
        </w:rPr>
      </w:pPr>
    </w:p>
    <w:p w14:paraId="15871E71" w14:textId="77777777" w:rsidR="00A231C4" w:rsidRDefault="00A231C4"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631"/>
        <w:gridCol w:w="764"/>
        <w:gridCol w:w="65"/>
        <w:gridCol w:w="845"/>
        <w:gridCol w:w="1488"/>
      </w:tblGrid>
      <w:tr w:rsidR="008F7FAD" w:rsidRPr="00F70053" w14:paraId="66D5C4A6" w14:textId="77777777" w:rsidTr="00945AFC">
        <w:tc>
          <w:tcPr>
            <w:tcW w:w="9854"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946994" w14:paraId="5D74ED09" w14:textId="77777777" w:rsidTr="00945AFC">
        <w:tc>
          <w:tcPr>
            <w:tcW w:w="9854" w:type="dxa"/>
            <w:gridSpan w:val="6"/>
            <w:shd w:val="clear" w:color="auto" w:fill="auto"/>
          </w:tcPr>
          <w:p w14:paraId="31E5F1AB" w14:textId="30110479" w:rsidR="008F7FAD" w:rsidRPr="00030847" w:rsidRDefault="00030847" w:rsidP="00945AFC">
            <w:pPr>
              <w:spacing w:before="60" w:after="60"/>
              <w:jc w:val="both"/>
              <w:rPr>
                <w:b/>
                <w:bCs/>
                <w:sz w:val="28"/>
                <w:szCs w:val="28"/>
              </w:rPr>
            </w:pPr>
            <w:r w:rsidRPr="00030847">
              <w:rPr>
                <w:b/>
                <w:bCs/>
                <w:sz w:val="28"/>
                <w:szCs w:val="28"/>
              </w:rPr>
              <w:lastRenderedPageBreak/>
              <w:t>IL RUOLO DELL’ONCOSOPPRESSORE SETD2 IN RELAZIONE ALL’EFFICACIA CLINICA DI MIDOSTAURINA E AVAPRITINIB NELLA MASTOCITOSI SISTEMICA / ROLE OF SETD2 TUMOR SUPPRESSOR IN RELATION TO THE CLINICAL EFFICACY OF MIDOSTAURIN AND AVAPRITINIB IN SYSTEMIC MASTOCYTOSIS</w:t>
            </w:r>
          </w:p>
        </w:tc>
      </w:tr>
      <w:tr w:rsidR="008F7FAD" w:rsidRPr="00F70053" w14:paraId="2DAAE0D4" w14:textId="77777777" w:rsidTr="00945AFC">
        <w:tc>
          <w:tcPr>
            <w:tcW w:w="4927"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80" w:type="dxa"/>
            <w:shd w:val="clear" w:color="auto" w:fill="auto"/>
            <w:vAlign w:val="center"/>
          </w:tcPr>
          <w:p w14:paraId="6684283F"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1723" w:type="dxa"/>
            <w:gridSpan w:val="3"/>
            <w:shd w:val="clear" w:color="auto" w:fill="auto"/>
            <w:vAlign w:val="center"/>
          </w:tcPr>
          <w:p w14:paraId="7708E1DC" w14:textId="7B8989BB" w:rsidR="008F7FAD" w:rsidRPr="00F70053" w:rsidRDefault="00086925"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NO</w:t>
            </w:r>
          </w:p>
        </w:tc>
        <w:tc>
          <w:tcPr>
            <w:tcW w:w="1524"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8F7FAD" w:rsidRPr="00F70053" w14:paraId="20646E4E" w14:textId="77777777" w:rsidTr="00945AFC">
        <w:tc>
          <w:tcPr>
            <w:tcW w:w="4927" w:type="dxa"/>
            <w:shd w:val="clear" w:color="auto" w:fill="auto"/>
            <w:vAlign w:val="center"/>
          </w:tcPr>
          <w:p w14:paraId="0F7FF232" w14:textId="77777777" w:rsidR="008F7FAD" w:rsidRPr="00F70053" w:rsidRDefault="008F7FAD" w:rsidP="00945AFC">
            <w:pPr>
              <w:spacing w:before="60" w:after="60"/>
              <w:rPr>
                <w:sz w:val="28"/>
                <w:szCs w:val="28"/>
              </w:rPr>
            </w:pPr>
            <w:r>
              <w:rPr>
                <w:sz w:val="21"/>
                <w:szCs w:val="21"/>
              </w:rPr>
              <w:t xml:space="preserve">SE IL FINANZIAMENTO È COMPETITIVO L’ENTE FINANZIATORE </w:t>
            </w:r>
          </w:p>
        </w:tc>
        <w:tc>
          <w:tcPr>
            <w:tcW w:w="4927" w:type="dxa"/>
            <w:gridSpan w:val="5"/>
            <w:shd w:val="clear" w:color="auto" w:fill="auto"/>
            <w:vAlign w:val="center"/>
          </w:tcPr>
          <w:p w14:paraId="3A7B1F16" w14:textId="77777777" w:rsidR="008F7FAD" w:rsidRPr="00F70053" w:rsidRDefault="008F7FAD" w:rsidP="00945AFC">
            <w:pPr>
              <w:spacing w:before="60" w:after="60"/>
              <w:jc w:val="both"/>
              <w:rPr>
                <w:sz w:val="28"/>
                <w:szCs w:val="28"/>
              </w:rPr>
            </w:pPr>
          </w:p>
        </w:tc>
      </w:tr>
      <w:tr w:rsidR="008F7FAD" w:rsidRPr="00F70053" w14:paraId="123C825F" w14:textId="77777777" w:rsidTr="00945AFC">
        <w:tc>
          <w:tcPr>
            <w:tcW w:w="4927" w:type="dxa"/>
            <w:shd w:val="clear" w:color="auto" w:fill="auto"/>
            <w:vAlign w:val="center"/>
          </w:tcPr>
          <w:p w14:paraId="47E85B9C" w14:textId="77777777" w:rsidR="008F7FAD" w:rsidRDefault="008F7FAD" w:rsidP="00945AFC">
            <w:pPr>
              <w:spacing w:before="60" w:after="60"/>
              <w:rPr>
                <w:sz w:val="21"/>
                <w:szCs w:val="21"/>
              </w:rPr>
            </w:pPr>
            <w:r>
              <w:rPr>
                <w:sz w:val="21"/>
                <w:szCs w:val="21"/>
              </w:rPr>
              <w:t>PROGETTO/ATTIVITÀ A SCOPO COMMERCIALE</w:t>
            </w:r>
          </w:p>
          <w:p w14:paraId="380F4F22" w14:textId="77777777" w:rsidR="008F7FAD" w:rsidRPr="005918FB" w:rsidRDefault="008F7FAD" w:rsidP="00945AFC">
            <w:pPr>
              <w:spacing w:before="60" w:after="60"/>
              <w:rPr>
                <w:i/>
                <w:sz w:val="21"/>
                <w:szCs w:val="21"/>
              </w:rPr>
            </w:pPr>
            <w:r w:rsidRPr="005918FB">
              <w:rPr>
                <w:i/>
                <w:sz w:val="21"/>
                <w:szCs w:val="21"/>
              </w:rPr>
              <w:t>(es. sperimentazione profit)</w:t>
            </w:r>
          </w:p>
        </w:tc>
        <w:tc>
          <w:tcPr>
            <w:tcW w:w="2463" w:type="dxa"/>
            <w:gridSpan w:val="2"/>
            <w:shd w:val="clear" w:color="auto" w:fill="auto"/>
            <w:vAlign w:val="center"/>
          </w:tcPr>
          <w:p w14:paraId="3E5B8E90"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464" w:type="dxa"/>
            <w:gridSpan w:val="3"/>
            <w:shd w:val="clear" w:color="auto" w:fill="auto"/>
            <w:vAlign w:val="center"/>
          </w:tcPr>
          <w:p w14:paraId="59790187" w14:textId="507D49C5" w:rsidR="008F7FAD" w:rsidRPr="00F70053" w:rsidRDefault="00086925"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NO</w:t>
            </w:r>
          </w:p>
        </w:tc>
      </w:tr>
      <w:tr w:rsidR="008F7FAD" w:rsidRPr="00F70053" w14:paraId="352EF1A0" w14:textId="77777777" w:rsidTr="00945AFC">
        <w:tc>
          <w:tcPr>
            <w:tcW w:w="4927" w:type="dxa"/>
            <w:shd w:val="clear" w:color="auto" w:fill="auto"/>
            <w:vAlign w:val="center"/>
          </w:tcPr>
          <w:p w14:paraId="36622053" w14:textId="77777777" w:rsidR="008F7FAD" w:rsidRPr="00F70053" w:rsidRDefault="008F7FAD" w:rsidP="00945AFC">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927" w:type="dxa"/>
            <w:gridSpan w:val="5"/>
            <w:shd w:val="clear" w:color="auto" w:fill="auto"/>
            <w:vAlign w:val="center"/>
          </w:tcPr>
          <w:p w14:paraId="6D7ED143" w14:textId="393F30AF" w:rsidR="008F7FAD" w:rsidRPr="00F70053" w:rsidRDefault="00086925" w:rsidP="00945AFC">
            <w:pPr>
              <w:spacing w:before="60" w:after="60"/>
              <w:jc w:val="both"/>
              <w:rPr>
                <w:sz w:val="28"/>
                <w:szCs w:val="28"/>
              </w:rPr>
            </w:pPr>
            <w:r>
              <w:rPr>
                <w:sz w:val="28"/>
                <w:szCs w:val="28"/>
              </w:rPr>
              <w:t>Biomedico</w:t>
            </w:r>
          </w:p>
        </w:tc>
      </w:tr>
      <w:tr w:rsidR="008F7FAD" w:rsidRPr="00F70053" w14:paraId="2482DE08" w14:textId="77777777" w:rsidTr="00945AFC">
        <w:tc>
          <w:tcPr>
            <w:tcW w:w="4927" w:type="dxa"/>
            <w:shd w:val="clear" w:color="auto" w:fill="auto"/>
            <w:vAlign w:val="center"/>
          </w:tcPr>
          <w:p w14:paraId="64F84B62" w14:textId="77777777" w:rsidR="008F7FAD" w:rsidRPr="002140C4" w:rsidRDefault="008F7FAD" w:rsidP="00945AFC">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528" w:type="dxa"/>
            <w:gridSpan w:val="3"/>
            <w:shd w:val="clear" w:color="auto" w:fill="auto"/>
            <w:vAlign w:val="center"/>
          </w:tcPr>
          <w:p w14:paraId="2470DAA6" w14:textId="6E6ABE18" w:rsidR="008F7FAD" w:rsidRPr="00F70053" w:rsidRDefault="00086925" w:rsidP="00945AFC">
            <w:pPr>
              <w:spacing w:before="60" w:after="60"/>
              <w:jc w:val="center"/>
              <w:rPr>
                <w:sz w:val="28"/>
                <w:szCs w:val="28"/>
              </w:rPr>
            </w:pPr>
            <w:r>
              <w:rPr>
                <w:sz w:val="44"/>
                <w:szCs w:val="28"/>
              </w:rPr>
              <w:t>X</w:t>
            </w:r>
            <w:r w:rsidR="008F7FAD">
              <w:rPr>
                <w:sz w:val="28"/>
                <w:szCs w:val="28"/>
              </w:rPr>
              <w:t xml:space="preserve"> Ottenuto</w:t>
            </w:r>
          </w:p>
        </w:tc>
        <w:tc>
          <w:tcPr>
            <w:tcW w:w="2399" w:type="dxa"/>
            <w:gridSpan w:val="2"/>
            <w:shd w:val="clear" w:color="auto" w:fill="auto"/>
            <w:vAlign w:val="center"/>
          </w:tcPr>
          <w:p w14:paraId="1880E94D"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Da ottenere</w:t>
            </w:r>
          </w:p>
        </w:tc>
      </w:tr>
      <w:tr w:rsidR="008F7FAD" w:rsidRPr="002E1FF5" w14:paraId="13D803E3" w14:textId="77777777" w:rsidTr="00945AFC">
        <w:tc>
          <w:tcPr>
            <w:tcW w:w="8330" w:type="dxa"/>
            <w:gridSpan w:val="5"/>
            <w:shd w:val="clear" w:color="auto" w:fill="auto"/>
            <w:vAlign w:val="center"/>
          </w:tcPr>
          <w:p w14:paraId="4B8C8F14" w14:textId="77777777" w:rsidR="008F7FAD" w:rsidRPr="002E1FF5" w:rsidRDefault="008F7FAD" w:rsidP="00945AF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r>
              <w:rPr>
                <w:i/>
                <w:sz w:val="20"/>
                <w:szCs w:val="20"/>
              </w:rPr>
              <w:t>max 8</w:t>
            </w:r>
            <w:r w:rsidRPr="00F70053">
              <w:rPr>
                <w:i/>
                <w:sz w:val="20"/>
                <w:szCs w:val="20"/>
              </w:rPr>
              <w:t>00 parole)</w:t>
            </w:r>
          </w:p>
        </w:tc>
        <w:tc>
          <w:tcPr>
            <w:tcW w:w="1524" w:type="dxa"/>
            <w:shd w:val="pct10" w:color="FFFF00" w:fill="auto"/>
            <w:vAlign w:val="center"/>
          </w:tcPr>
          <w:p w14:paraId="6A59D89E" w14:textId="77777777" w:rsidR="008F7FAD" w:rsidRPr="002E1FF5" w:rsidRDefault="008F7FAD" w:rsidP="00945AFC">
            <w:pPr>
              <w:spacing w:before="60" w:after="60"/>
              <w:jc w:val="both"/>
              <w:rPr>
                <w:b/>
                <w:sz w:val="28"/>
                <w:szCs w:val="28"/>
              </w:rPr>
            </w:pPr>
            <w:r w:rsidRPr="00D52083">
              <w:rPr>
                <w:i/>
              </w:rPr>
              <w:t>Punti</w:t>
            </w:r>
          </w:p>
        </w:tc>
      </w:tr>
      <w:tr w:rsidR="008F7FAD" w:rsidRPr="00A4732A" w14:paraId="1C1182E8" w14:textId="77777777" w:rsidTr="00945AFC">
        <w:trPr>
          <w:trHeight w:val="4178"/>
        </w:trPr>
        <w:tc>
          <w:tcPr>
            <w:tcW w:w="9854" w:type="dxa"/>
            <w:gridSpan w:val="6"/>
            <w:shd w:val="clear" w:color="auto" w:fill="auto"/>
          </w:tcPr>
          <w:p w14:paraId="2CFF78C3" w14:textId="77777777" w:rsidR="008F7FAD" w:rsidRDefault="003734D3" w:rsidP="00945AFC">
            <w:pPr>
              <w:pStyle w:val="NormaleWeb"/>
              <w:spacing w:before="0" w:beforeAutospacing="0" w:after="120" w:afterAutospacing="0"/>
              <w:jc w:val="both"/>
              <w:rPr>
                <w:b/>
                <w:sz w:val="21"/>
                <w:szCs w:val="21"/>
              </w:rPr>
            </w:pPr>
            <w:r w:rsidRPr="003734D3">
              <w:rPr>
                <w:b/>
                <w:sz w:val="21"/>
                <w:szCs w:val="21"/>
              </w:rPr>
              <w:t>(</w:t>
            </w:r>
            <w:proofErr w:type="gramStart"/>
            <w:r w:rsidRPr="003734D3">
              <w:rPr>
                <w:b/>
                <w:sz w:val="21"/>
                <w:szCs w:val="21"/>
              </w:rPr>
              <w:t>1)obiettivi</w:t>
            </w:r>
            <w:proofErr w:type="gramEnd"/>
            <w:r w:rsidRPr="003734D3">
              <w:rPr>
                <w:b/>
                <w:sz w:val="21"/>
                <w:szCs w:val="21"/>
              </w:rPr>
              <w:t>, (2)materiali e metodi, (3) risultati/impatto attesi, (4) attività formativa e (5) di ricerca dell’assegnista</w:t>
            </w:r>
          </w:p>
          <w:p w14:paraId="1D85E68F" w14:textId="3E2C8D10" w:rsidR="0021544B" w:rsidRDefault="0021544B" w:rsidP="0021544B">
            <w:pPr>
              <w:pStyle w:val="NormaleWeb"/>
              <w:spacing w:before="0" w:beforeAutospacing="0" w:after="120" w:afterAutospacing="0"/>
              <w:rPr>
                <w:bCs/>
                <w:sz w:val="21"/>
                <w:szCs w:val="21"/>
              </w:rPr>
            </w:pPr>
            <w:r w:rsidRPr="00813145">
              <w:rPr>
                <w:bCs/>
                <w:sz w:val="21"/>
                <w:szCs w:val="21"/>
                <w:u w:val="single"/>
              </w:rPr>
              <w:t>Obiettivi:</w:t>
            </w:r>
            <w:r>
              <w:rPr>
                <w:bCs/>
                <w:sz w:val="21"/>
                <w:szCs w:val="21"/>
              </w:rPr>
              <w:t xml:space="preserve"> </w:t>
            </w:r>
            <w:r w:rsidRPr="00086925">
              <w:rPr>
                <w:bCs/>
                <w:sz w:val="21"/>
                <w:szCs w:val="21"/>
              </w:rPr>
              <w:t xml:space="preserve">La </w:t>
            </w:r>
            <w:proofErr w:type="spellStart"/>
            <w:r w:rsidRPr="00086925">
              <w:rPr>
                <w:bCs/>
                <w:sz w:val="21"/>
                <w:szCs w:val="21"/>
              </w:rPr>
              <w:t>mastocitosi</w:t>
            </w:r>
            <w:proofErr w:type="spellEnd"/>
            <w:r w:rsidRPr="00086925">
              <w:rPr>
                <w:bCs/>
                <w:sz w:val="21"/>
                <w:szCs w:val="21"/>
              </w:rPr>
              <w:t xml:space="preserve"> sistemica</w:t>
            </w:r>
            <w:r>
              <w:rPr>
                <w:bCs/>
                <w:sz w:val="21"/>
                <w:szCs w:val="21"/>
              </w:rPr>
              <w:t xml:space="preserve"> (MS) è una neoplasia ematologica rara ed eterogenea caratterizzata da espansione clonale e iperattivazione di mastociti aberranti. La MS include forme aggressive caratterizzate da danno d’organo e prognosi infausta. L’avvento di inibitori (</w:t>
            </w:r>
            <w:proofErr w:type="spellStart"/>
            <w:r>
              <w:rPr>
                <w:bCs/>
                <w:sz w:val="21"/>
                <w:szCs w:val="21"/>
              </w:rPr>
              <w:t>midostaurina</w:t>
            </w:r>
            <w:proofErr w:type="spellEnd"/>
            <w:r>
              <w:rPr>
                <w:bCs/>
                <w:sz w:val="21"/>
                <w:szCs w:val="21"/>
              </w:rPr>
              <w:t xml:space="preserve"> e </w:t>
            </w:r>
            <w:proofErr w:type="spellStart"/>
            <w:r>
              <w:rPr>
                <w:bCs/>
                <w:sz w:val="21"/>
                <w:szCs w:val="21"/>
              </w:rPr>
              <w:t>avapritinib</w:t>
            </w:r>
            <w:proofErr w:type="spellEnd"/>
            <w:r>
              <w:rPr>
                <w:bCs/>
                <w:sz w:val="21"/>
                <w:szCs w:val="21"/>
              </w:rPr>
              <w:t xml:space="preserve">) della </w:t>
            </w:r>
            <w:proofErr w:type="spellStart"/>
            <w:r>
              <w:rPr>
                <w:bCs/>
                <w:sz w:val="21"/>
                <w:szCs w:val="21"/>
              </w:rPr>
              <w:t>tirosin-chinasi</w:t>
            </w:r>
            <w:proofErr w:type="spellEnd"/>
            <w:r>
              <w:rPr>
                <w:bCs/>
                <w:sz w:val="21"/>
                <w:szCs w:val="21"/>
              </w:rPr>
              <w:t xml:space="preserve"> KIT, riconosciuta come principale driver della MS, ha rivoluzionato la terapia, ma non tutti i pazienti rispondono in modo soddisfacente. La ricerca si sta dunque concentrando sull’ottimizzazione della scelta dell’inibitore o del timing con cui effettuare un eventuale switch e sull’individuazione di nuovi bersagli terapeutici. Recentemente, il nostro laboratorio ha scoperto che i pazienti con MS, in particolare quelli con forme avanzate, possono presentare una perdita di funzione dell’oncosoppressore SETD2 (codificante per un’istone-metiltransferasi già nota per essere implicata nei carcinomi renali a cellule chiare e in diverse altre forme di tumori solidi, dove si associa a maggior aggressività e a </w:t>
            </w:r>
            <w:proofErr w:type="spellStart"/>
            <w:r>
              <w:rPr>
                <w:bCs/>
                <w:sz w:val="21"/>
                <w:szCs w:val="21"/>
              </w:rPr>
              <w:t>chemioresistenza</w:t>
            </w:r>
            <w:proofErr w:type="spellEnd"/>
            <w:r>
              <w:rPr>
                <w:bCs/>
                <w:sz w:val="21"/>
                <w:szCs w:val="21"/>
              </w:rPr>
              <w:t xml:space="preserve">) ascrivibile ad un’aumentata degradazione della proteina (quindi reversibile). Questo progetto si propone di valutare: 1) l’impatto della perdita di funzione di SETD2 sulla patogenesi delle forme avanzate di MS; 2) l’impatto della perdita di funzione di SETD2 sulla risposta alla terapia con </w:t>
            </w:r>
            <w:proofErr w:type="spellStart"/>
            <w:r>
              <w:rPr>
                <w:bCs/>
                <w:sz w:val="21"/>
                <w:szCs w:val="21"/>
              </w:rPr>
              <w:t>midostaurina</w:t>
            </w:r>
            <w:proofErr w:type="spellEnd"/>
            <w:r>
              <w:rPr>
                <w:bCs/>
                <w:sz w:val="21"/>
                <w:szCs w:val="21"/>
              </w:rPr>
              <w:t>/</w:t>
            </w:r>
            <w:proofErr w:type="spellStart"/>
            <w:r>
              <w:rPr>
                <w:bCs/>
                <w:sz w:val="21"/>
                <w:szCs w:val="21"/>
              </w:rPr>
              <w:t>avapritinib</w:t>
            </w:r>
            <w:proofErr w:type="spellEnd"/>
            <w:r>
              <w:rPr>
                <w:bCs/>
                <w:sz w:val="21"/>
                <w:szCs w:val="21"/>
              </w:rPr>
              <w:t>.</w:t>
            </w:r>
          </w:p>
          <w:p w14:paraId="34EACE85" w14:textId="77777777" w:rsidR="0021544B" w:rsidRDefault="0021544B" w:rsidP="0021544B">
            <w:pPr>
              <w:pStyle w:val="NormaleWeb"/>
              <w:spacing w:before="0" w:beforeAutospacing="0" w:after="120" w:afterAutospacing="0"/>
              <w:rPr>
                <w:bCs/>
                <w:sz w:val="21"/>
                <w:szCs w:val="21"/>
              </w:rPr>
            </w:pPr>
            <w:r w:rsidRPr="00813145">
              <w:rPr>
                <w:bCs/>
                <w:sz w:val="21"/>
                <w:szCs w:val="21"/>
                <w:u w:val="single"/>
              </w:rPr>
              <w:t>Materiali e metodi:</w:t>
            </w:r>
            <w:r>
              <w:rPr>
                <w:bCs/>
                <w:sz w:val="21"/>
                <w:szCs w:val="21"/>
              </w:rPr>
              <w:t xml:space="preserve"> gli studi verranno condotti su linee cellulari di MS e su campioni di midollo osseo di pazienti afferenti all’UO Ematologia “</w:t>
            </w:r>
            <w:proofErr w:type="spellStart"/>
            <w:r>
              <w:rPr>
                <w:bCs/>
                <w:sz w:val="21"/>
                <w:szCs w:val="21"/>
              </w:rPr>
              <w:t>Seràgnoli</w:t>
            </w:r>
            <w:proofErr w:type="spellEnd"/>
            <w:r>
              <w:rPr>
                <w:bCs/>
                <w:sz w:val="21"/>
                <w:szCs w:val="21"/>
              </w:rPr>
              <w:t>” già raccolti previa firma di consenso informato nell’ambito del protocollo tissutale ‘</w:t>
            </w:r>
            <w:proofErr w:type="spellStart"/>
            <w:r>
              <w:rPr>
                <w:bCs/>
                <w:sz w:val="21"/>
                <w:szCs w:val="21"/>
              </w:rPr>
              <w:t>Hemaomics</w:t>
            </w:r>
            <w:proofErr w:type="spellEnd"/>
            <w:r>
              <w:rPr>
                <w:bCs/>
                <w:sz w:val="21"/>
                <w:szCs w:val="21"/>
              </w:rPr>
              <w:t>’ (</w:t>
            </w:r>
            <w:r w:rsidRPr="0006495D">
              <w:rPr>
                <w:bCs/>
                <w:sz w:val="21"/>
                <w:szCs w:val="21"/>
              </w:rPr>
              <w:t>112/2014/U/</w:t>
            </w:r>
            <w:proofErr w:type="spellStart"/>
            <w:r w:rsidRPr="0006495D">
              <w:rPr>
                <w:bCs/>
                <w:sz w:val="21"/>
                <w:szCs w:val="21"/>
              </w:rPr>
              <w:t>Tess</w:t>
            </w:r>
            <w:proofErr w:type="spellEnd"/>
            <w:r>
              <w:rPr>
                <w:bCs/>
                <w:sz w:val="21"/>
                <w:szCs w:val="21"/>
              </w:rPr>
              <w:t xml:space="preserve">). I metodi che verranno utilizzati includono: co-immunoprecipitazione, Western </w:t>
            </w:r>
            <w:proofErr w:type="spellStart"/>
            <w:r>
              <w:rPr>
                <w:bCs/>
                <w:sz w:val="21"/>
                <w:szCs w:val="21"/>
              </w:rPr>
              <w:t>blotting</w:t>
            </w:r>
            <w:proofErr w:type="spellEnd"/>
            <w:r>
              <w:rPr>
                <w:bCs/>
                <w:sz w:val="21"/>
                <w:szCs w:val="21"/>
              </w:rPr>
              <w:t xml:space="preserve">, </w:t>
            </w:r>
            <w:proofErr w:type="spellStart"/>
            <w:r>
              <w:rPr>
                <w:bCs/>
                <w:sz w:val="21"/>
                <w:szCs w:val="21"/>
              </w:rPr>
              <w:t>citofluorimetria</w:t>
            </w:r>
            <w:proofErr w:type="spellEnd"/>
            <w:r>
              <w:rPr>
                <w:bCs/>
                <w:sz w:val="21"/>
                <w:szCs w:val="21"/>
              </w:rPr>
              <w:t xml:space="preserve">, saggi di sensibilità a farmaci in vitro e </w:t>
            </w:r>
            <w:proofErr w:type="spellStart"/>
            <w:r>
              <w:rPr>
                <w:bCs/>
                <w:sz w:val="21"/>
                <w:szCs w:val="21"/>
              </w:rPr>
              <w:t>real</w:t>
            </w:r>
            <w:proofErr w:type="spellEnd"/>
            <w:r>
              <w:rPr>
                <w:bCs/>
                <w:sz w:val="21"/>
                <w:szCs w:val="21"/>
              </w:rPr>
              <w:t xml:space="preserve"> time PCR, come sotto descritto.</w:t>
            </w:r>
          </w:p>
          <w:p w14:paraId="2F01A49A" w14:textId="77777777" w:rsidR="0021544B" w:rsidRDefault="0021544B" w:rsidP="0021544B">
            <w:pPr>
              <w:pStyle w:val="NormaleWeb"/>
              <w:spacing w:before="0" w:beforeAutospacing="0" w:after="120" w:afterAutospacing="0"/>
              <w:rPr>
                <w:bCs/>
                <w:sz w:val="21"/>
                <w:szCs w:val="21"/>
              </w:rPr>
            </w:pPr>
            <w:r w:rsidRPr="00813145">
              <w:rPr>
                <w:bCs/>
                <w:sz w:val="21"/>
                <w:szCs w:val="21"/>
                <w:u w:val="single"/>
              </w:rPr>
              <w:t>Risultati/impatto attesi:</w:t>
            </w:r>
            <w:r>
              <w:rPr>
                <w:bCs/>
                <w:sz w:val="21"/>
                <w:szCs w:val="21"/>
              </w:rPr>
              <w:t xml:space="preserve"> ci si attende di comprendere: a) quale sia l’impatto della perdita di SETD2 sulla biologia dei mastociti neoplastici; b) se vi sia un cross-talk fra i pathways deregolati dall’attivazione costitutiva di KIT e quelli perturbati dalla perdita di funzione di SETD2; c) se il trattamento con </w:t>
            </w:r>
            <w:proofErr w:type="spellStart"/>
            <w:r>
              <w:rPr>
                <w:bCs/>
                <w:sz w:val="21"/>
                <w:szCs w:val="21"/>
              </w:rPr>
              <w:t>midostaurina</w:t>
            </w:r>
            <w:proofErr w:type="spellEnd"/>
            <w:r>
              <w:rPr>
                <w:bCs/>
                <w:sz w:val="21"/>
                <w:szCs w:val="21"/>
              </w:rPr>
              <w:t xml:space="preserve"> o </w:t>
            </w:r>
            <w:proofErr w:type="spellStart"/>
            <w:r>
              <w:rPr>
                <w:bCs/>
                <w:sz w:val="21"/>
                <w:szCs w:val="21"/>
              </w:rPr>
              <w:t>avapritinib</w:t>
            </w:r>
            <w:proofErr w:type="spellEnd"/>
            <w:r>
              <w:rPr>
                <w:bCs/>
                <w:sz w:val="21"/>
                <w:szCs w:val="21"/>
              </w:rPr>
              <w:t xml:space="preserve"> influisca sui livelli di espressione e sulla funzionalità di SETD2; d) se esista una correlazione tra </w:t>
            </w:r>
            <w:r>
              <w:rPr>
                <w:bCs/>
                <w:sz w:val="21"/>
                <w:szCs w:val="21"/>
              </w:rPr>
              <w:lastRenderedPageBreak/>
              <w:t xml:space="preserve">ripristino funzionale di SETD2 e la risposta alla terapia con </w:t>
            </w:r>
            <w:proofErr w:type="spellStart"/>
            <w:r>
              <w:rPr>
                <w:bCs/>
                <w:sz w:val="21"/>
                <w:szCs w:val="21"/>
              </w:rPr>
              <w:t>midostaurina</w:t>
            </w:r>
            <w:proofErr w:type="spellEnd"/>
            <w:r>
              <w:rPr>
                <w:bCs/>
                <w:sz w:val="21"/>
                <w:szCs w:val="21"/>
              </w:rPr>
              <w:t xml:space="preserve"> o </w:t>
            </w:r>
            <w:proofErr w:type="spellStart"/>
            <w:r>
              <w:rPr>
                <w:bCs/>
                <w:sz w:val="21"/>
                <w:szCs w:val="21"/>
              </w:rPr>
              <w:t>avapritinib</w:t>
            </w:r>
            <w:proofErr w:type="spellEnd"/>
            <w:r>
              <w:rPr>
                <w:bCs/>
                <w:sz w:val="21"/>
                <w:szCs w:val="21"/>
              </w:rPr>
              <w:t xml:space="preserve">. Il progetto ha inoltre le potenzialità per alimentare ulteriori filoni di ricerca, ad esempio miranti a valutare se la perdita di funzione di SETD2 possa essere direttamente o indirettamente bersagliabile farmacologicamente a potenziamento dell’efficacia degli inibitori di KIT. Il tutto potrà contribuire ad ottimizzare l’utilizzo di </w:t>
            </w:r>
            <w:proofErr w:type="spellStart"/>
            <w:r>
              <w:rPr>
                <w:bCs/>
                <w:sz w:val="21"/>
                <w:szCs w:val="21"/>
              </w:rPr>
              <w:t>midostaurina</w:t>
            </w:r>
            <w:proofErr w:type="spellEnd"/>
            <w:r>
              <w:rPr>
                <w:bCs/>
                <w:sz w:val="21"/>
                <w:szCs w:val="21"/>
              </w:rPr>
              <w:t xml:space="preserve"> ed </w:t>
            </w:r>
            <w:proofErr w:type="spellStart"/>
            <w:r>
              <w:rPr>
                <w:bCs/>
                <w:sz w:val="21"/>
                <w:szCs w:val="21"/>
              </w:rPr>
              <w:t>avapritinib</w:t>
            </w:r>
            <w:proofErr w:type="spellEnd"/>
            <w:r>
              <w:rPr>
                <w:bCs/>
                <w:sz w:val="21"/>
                <w:szCs w:val="21"/>
              </w:rPr>
              <w:t xml:space="preserve"> e a delineare nuove strategie terapeutiche per pazienti resistenti/refrattari.</w:t>
            </w:r>
          </w:p>
          <w:p w14:paraId="6D146B14" w14:textId="77777777" w:rsidR="0021544B" w:rsidRDefault="0021544B" w:rsidP="0021544B">
            <w:pPr>
              <w:pStyle w:val="NormaleWeb"/>
              <w:spacing w:before="0" w:beforeAutospacing="0" w:after="120" w:afterAutospacing="0"/>
              <w:rPr>
                <w:bCs/>
                <w:sz w:val="21"/>
                <w:szCs w:val="21"/>
              </w:rPr>
            </w:pPr>
            <w:r w:rsidRPr="00D30F45">
              <w:rPr>
                <w:bCs/>
                <w:sz w:val="21"/>
                <w:szCs w:val="21"/>
                <w:u w:val="single"/>
              </w:rPr>
              <w:t>Attività formativa:</w:t>
            </w:r>
            <w:r>
              <w:rPr>
                <w:bCs/>
                <w:sz w:val="21"/>
                <w:szCs w:val="21"/>
              </w:rPr>
              <w:t xml:space="preserve"> l’assegnista consoliderà le proprie competenze nell’analisi e nell’interpretazione e validazione di dati di </w:t>
            </w:r>
            <w:proofErr w:type="spellStart"/>
            <w:r>
              <w:rPr>
                <w:bCs/>
                <w:sz w:val="21"/>
                <w:szCs w:val="21"/>
              </w:rPr>
              <w:t>trascrittomica</w:t>
            </w:r>
            <w:proofErr w:type="spellEnd"/>
            <w:r>
              <w:rPr>
                <w:bCs/>
                <w:sz w:val="21"/>
                <w:szCs w:val="21"/>
              </w:rPr>
              <w:t xml:space="preserve"> e </w:t>
            </w:r>
            <w:proofErr w:type="spellStart"/>
            <w:r>
              <w:rPr>
                <w:bCs/>
                <w:sz w:val="21"/>
                <w:szCs w:val="21"/>
              </w:rPr>
              <w:t>interattomica</w:t>
            </w:r>
            <w:proofErr w:type="spellEnd"/>
            <w:r>
              <w:rPr>
                <w:bCs/>
                <w:sz w:val="21"/>
                <w:szCs w:val="21"/>
              </w:rPr>
              <w:t xml:space="preserve"> e nelle tecniche di biologia cellulare e molecolare previste dal progetto. L’attività formativa dell’assegnista prevederà inoltre la partecipazione a congressi nazionali ed internazionali incentrati sulla SM e la presentazione sotto forma di poster ed eventualmente comunicazioni orali dei risultati della ricerca.</w:t>
            </w:r>
          </w:p>
          <w:p w14:paraId="435CD4E1" w14:textId="77777777" w:rsidR="0021544B" w:rsidRDefault="0021544B" w:rsidP="0021544B">
            <w:pPr>
              <w:pStyle w:val="NormaleWeb"/>
              <w:spacing w:before="0" w:beforeAutospacing="0" w:after="120" w:afterAutospacing="0"/>
              <w:rPr>
                <w:bCs/>
                <w:sz w:val="21"/>
                <w:szCs w:val="21"/>
              </w:rPr>
            </w:pPr>
            <w:r w:rsidRPr="00D30F45">
              <w:rPr>
                <w:bCs/>
                <w:sz w:val="21"/>
                <w:szCs w:val="21"/>
                <w:u w:val="single"/>
              </w:rPr>
              <w:t>Attività di ricerca:</w:t>
            </w:r>
            <w:r w:rsidRPr="00D30F45">
              <w:rPr>
                <w:bCs/>
                <w:sz w:val="21"/>
                <w:szCs w:val="21"/>
              </w:rPr>
              <w:t xml:space="preserve"> </w:t>
            </w:r>
            <w:r w:rsidRPr="00F230F7">
              <w:rPr>
                <w:bCs/>
                <w:sz w:val="21"/>
                <w:szCs w:val="21"/>
              </w:rPr>
              <w:t>l’assegnista condurrà le seguenti tasks</w:t>
            </w:r>
            <w:r>
              <w:rPr>
                <w:bCs/>
                <w:sz w:val="21"/>
                <w:szCs w:val="21"/>
              </w:rPr>
              <w:t xml:space="preserve">: </w:t>
            </w:r>
          </w:p>
          <w:p w14:paraId="5B5F83E5" w14:textId="77777777" w:rsidR="0021544B" w:rsidRDefault="0021544B" w:rsidP="0021544B">
            <w:pPr>
              <w:pStyle w:val="NormaleWeb"/>
              <w:spacing w:before="0" w:beforeAutospacing="0" w:after="120" w:afterAutospacing="0"/>
              <w:rPr>
                <w:color w:val="000000" w:themeColor="text1"/>
                <w:sz w:val="21"/>
                <w:szCs w:val="21"/>
              </w:rPr>
            </w:pPr>
            <w:r w:rsidRPr="002452C6">
              <w:rPr>
                <w:i/>
                <w:iCs/>
                <w:color w:val="000000" w:themeColor="text1"/>
                <w:sz w:val="21"/>
                <w:szCs w:val="21"/>
              </w:rPr>
              <w:t xml:space="preserve">Task </w:t>
            </w:r>
            <w:r>
              <w:rPr>
                <w:i/>
                <w:iCs/>
                <w:color w:val="000000" w:themeColor="text1"/>
                <w:sz w:val="21"/>
                <w:szCs w:val="21"/>
              </w:rPr>
              <w:t>1)</w:t>
            </w:r>
            <w:r w:rsidRPr="002452C6">
              <w:rPr>
                <w:i/>
                <w:iCs/>
                <w:color w:val="000000" w:themeColor="text1"/>
                <w:sz w:val="21"/>
                <w:szCs w:val="21"/>
              </w:rPr>
              <w:t xml:space="preserve"> analisi e interpretazione dei dati già disponibili di </w:t>
            </w:r>
            <w:r>
              <w:rPr>
                <w:i/>
                <w:iCs/>
                <w:color w:val="000000" w:themeColor="text1"/>
                <w:sz w:val="21"/>
                <w:szCs w:val="21"/>
              </w:rPr>
              <w:t>espressione genica differenziale in modelli SETD2 on-off</w:t>
            </w:r>
            <w:r w:rsidRPr="002452C6">
              <w:rPr>
                <w:i/>
                <w:iCs/>
                <w:color w:val="000000" w:themeColor="text1"/>
                <w:sz w:val="21"/>
                <w:szCs w:val="21"/>
              </w:rPr>
              <w:t xml:space="preserve"> e di spettrometria di massa sull’</w:t>
            </w:r>
            <w:proofErr w:type="spellStart"/>
            <w:r w:rsidRPr="002452C6">
              <w:rPr>
                <w:i/>
                <w:iCs/>
                <w:color w:val="000000" w:themeColor="text1"/>
                <w:sz w:val="21"/>
                <w:szCs w:val="21"/>
              </w:rPr>
              <w:t>interattoma</w:t>
            </w:r>
            <w:proofErr w:type="spellEnd"/>
            <w:r w:rsidRPr="002452C6">
              <w:rPr>
                <w:i/>
                <w:iCs/>
                <w:color w:val="000000" w:themeColor="text1"/>
                <w:sz w:val="21"/>
                <w:szCs w:val="21"/>
              </w:rPr>
              <w:t xml:space="preserve"> di SETD2.</w:t>
            </w:r>
            <w:r>
              <w:rPr>
                <w:color w:val="000000" w:themeColor="text1"/>
                <w:sz w:val="21"/>
                <w:szCs w:val="21"/>
              </w:rPr>
              <w:t xml:space="preserve"> Grazie a collaborazioni esterne, il laboratorio ospitante dispone di dati di espressione genica differenziale ottenuti mediante RNA-</w:t>
            </w:r>
            <w:proofErr w:type="spellStart"/>
            <w:r>
              <w:rPr>
                <w:color w:val="000000" w:themeColor="text1"/>
                <w:sz w:val="21"/>
                <w:szCs w:val="21"/>
              </w:rPr>
              <w:t>seq</w:t>
            </w:r>
            <w:proofErr w:type="spellEnd"/>
            <w:r>
              <w:rPr>
                <w:color w:val="000000" w:themeColor="text1"/>
                <w:sz w:val="21"/>
                <w:szCs w:val="21"/>
              </w:rPr>
              <w:t xml:space="preserve"> in linee cellulari di SM positive e negative per SETD2 (HMC-1.2 vs HMC-1.2 </w:t>
            </w:r>
            <w:proofErr w:type="spellStart"/>
            <w:r>
              <w:rPr>
                <w:color w:val="000000" w:themeColor="text1"/>
                <w:sz w:val="21"/>
                <w:szCs w:val="21"/>
              </w:rPr>
              <w:t>transfettate</w:t>
            </w:r>
            <w:proofErr w:type="spellEnd"/>
            <w:r>
              <w:rPr>
                <w:color w:val="000000" w:themeColor="text1"/>
                <w:sz w:val="21"/>
                <w:szCs w:val="21"/>
              </w:rPr>
              <w:t xml:space="preserve"> per SETD2; ROSA D816V vs ROSA D816V silenziate per SETD2). Ha inoltre ottenuto dati di spettrometria di massa volti a caratterizzare l’</w:t>
            </w:r>
            <w:proofErr w:type="spellStart"/>
            <w:r>
              <w:rPr>
                <w:color w:val="000000" w:themeColor="text1"/>
                <w:sz w:val="21"/>
                <w:szCs w:val="21"/>
              </w:rPr>
              <w:t>interattoma</w:t>
            </w:r>
            <w:proofErr w:type="spellEnd"/>
            <w:r>
              <w:rPr>
                <w:color w:val="000000" w:themeColor="text1"/>
                <w:sz w:val="21"/>
                <w:szCs w:val="21"/>
              </w:rPr>
              <w:t xml:space="preserve"> di SETD2 nelle linee di SM che esprimono fisiologicamente SETD2 (ROSA D816V) o in cui l’espressione di SETD2 è stata ripristinata (HMC-1.2 </w:t>
            </w:r>
            <w:proofErr w:type="spellStart"/>
            <w:r>
              <w:rPr>
                <w:color w:val="000000" w:themeColor="text1"/>
                <w:sz w:val="21"/>
                <w:szCs w:val="21"/>
              </w:rPr>
              <w:t>transfettate</w:t>
            </w:r>
            <w:proofErr w:type="spellEnd"/>
            <w:r>
              <w:rPr>
                <w:color w:val="000000" w:themeColor="text1"/>
                <w:sz w:val="21"/>
                <w:szCs w:val="21"/>
              </w:rPr>
              <w:t xml:space="preserve"> per SETD2). I dati verranno interrogati alla ricerca di geni e pathways chiave utili a dissezionare il ruolo patogenetico della perdita di funzione di SETD2 nei pazienti con forme aggressive e avanzate, e a individuare candidati potenzialmente utili come biomarcatori o bersagli terapeutici per studi successivi. Le interazioni più rilevanti verranno validate mediate co-immunoprecipitazione e Western </w:t>
            </w:r>
            <w:proofErr w:type="spellStart"/>
            <w:r>
              <w:rPr>
                <w:color w:val="000000" w:themeColor="text1"/>
                <w:sz w:val="21"/>
                <w:szCs w:val="21"/>
              </w:rPr>
              <w:t>blotting</w:t>
            </w:r>
            <w:proofErr w:type="spellEnd"/>
            <w:r>
              <w:rPr>
                <w:color w:val="000000" w:themeColor="text1"/>
                <w:sz w:val="21"/>
                <w:szCs w:val="21"/>
              </w:rPr>
              <w:t xml:space="preserve">. La deregolazione trascrizionale verrà validata mediante </w:t>
            </w:r>
            <w:proofErr w:type="spellStart"/>
            <w:r>
              <w:rPr>
                <w:color w:val="000000" w:themeColor="text1"/>
                <w:sz w:val="21"/>
                <w:szCs w:val="21"/>
              </w:rPr>
              <w:t>real</w:t>
            </w:r>
            <w:proofErr w:type="spellEnd"/>
            <w:r>
              <w:rPr>
                <w:color w:val="000000" w:themeColor="text1"/>
                <w:sz w:val="21"/>
                <w:szCs w:val="21"/>
              </w:rPr>
              <w:t xml:space="preserve"> time PCR.</w:t>
            </w:r>
          </w:p>
          <w:p w14:paraId="7A53BEF5" w14:textId="77777777" w:rsidR="0021544B" w:rsidRPr="00356CC1" w:rsidRDefault="0021544B" w:rsidP="0021544B">
            <w:pPr>
              <w:pStyle w:val="NormaleWeb"/>
              <w:spacing w:before="0" w:beforeAutospacing="0" w:after="120" w:afterAutospacing="0"/>
              <w:rPr>
                <w:color w:val="000000" w:themeColor="text1"/>
                <w:sz w:val="21"/>
                <w:szCs w:val="21"/>
              </w:rPr>
            </w:pPr>
            <w:r w:rsidRPr="00923F29">
              <w:rPr>
                <w:i/>
                <w:iCs/>
                <w:color w:val="000000" w:themeColor="text1"/>
                <w:sz w:val="21"/>
                <w:szCs w:val="21"/>
              </w:rPr>
              <w:t xml:space="preserve">Task </w:t>
            </w:r>
            <w:r>
              <w:rPr>
                <w:i/>
                <w:iCs/>
                <w:color w:val="000000" w:themeColor="text1"/>
                <w:sz w:val="21"/>
                <w:szCs w:val="21"/>
              </w:rPr>
              <w:t>2</w:t>
            </w:r>
            <w:r w:rsidRPr="00923F29">
              <w:rPr>
                <w:i/>
                <w:iCs/>
                <w:color w:val="000000" w:themeColor="text1"/>
                <w:sz w:val="21"/>
                <w:szCs w:val="21"/>
              </w:rPr>
              <w:t xml:space="preserve">) </w:t>
            </w:r>
            <w:r>
              <w:rPr>
                <w:i/>
                <w:iCs/>
                <w:color w:val="000000" w:themeColor="text1"/>
                <w:sz w:val="21"/>
                <w:szCs w:val="21"/>
              </w:rPr>
              <w:t xml:space="preserve">valutazione degli effetti della perdita di funzione di SETD2 sul </w:t>
            </w:r>
            <w:proofErr w:type="spellStart"/>
            <w:r>
              <w:rPr>
                <w:i/>
                <w:iCs/>
                <w:color w:val="000000" w:themeColor="text1"/>
                <w:sz w:val="21"/>
                <w:szCs w:val="21"/>
              </w:rPr>
              <w:t>signaling</w:t>
            </w:r>
            <w:proofErr w:type="spellEnd"/>
            <w:r>
              <w:rPr>
                <w:i/>
                <w:iCs/>
                <w:color w:val="000000" w:themeColor="text1"/>
                <w:sz w:val="21"/>
                <w:szCs w:val="21"/>
              </w:rPr>
              <w:t xml:space="preserve"> di KIT. </w:t>
            </w:r>
            <w:r w:rsidRPr="007C0E6D">
              <w:rPr>
                <w:color w:val="000000" w:themeColor="text1"/>
                <w:sz w:val="21"/>
                <w:szCs w:val="21"/>
              </w:rPr>
              <w:t>L’attivazione d</w:t>
            </w:r>
            <w:r>
              <w:rPr>
                <w:color w:val="000000" w:themeColor="text1"/>
                <w:sz w:val="21"/>
                <w:szCs w:val="21"/>
              </w:rPr>
              <w:t>ei</w:t>
            </w:r>
            <w:r w:rsidRPr="007C0E6D">
              <w:rPr>
                <w:color w:val="000000" w:themeColor="text1"/>
                <w:sz w:val="21"/>
                <w:szCs w:val="21"/>
              </w:rPr>
              <w:t xml:space="preserve"> </w:t>
            </w:r>
            <w:proofErr w:type="spellStart"/>
            <w:r w:rsidRPr="007C0E6D">
              <w:rPr>
                <w:color w:val="000000" w:themeColor="text1"/>
                <w:sz w:val="21"/>
                <w:szCs w:val="21"/>
              </w:rPr>
              <w:t>pathway</w:t>
            </w:r>
            <w:r>
              <w:rPr>
                <w:color w:val="000000" w:themeColor="text1"/>
                <w:sz w:val="21"/>
                <w:szCs w:val="21"/>
              </w:rPr>
              <w:t>s</w:t>
            </w:r>
            <w:proofErr w:type="spellEnd"/>
            <w:r>
              <w:rPr>
                <w:color w:val="000000" w:themeColor="text1"/>
                <w:sz w:val="21"/>
                <w:szCs w:val="21"/>
              </w:rPr>
              <w:t xml:space="preserve"> </w:t>
            </w:r>
            <w:r w:rsidRPr="007C0E6D">
              <w:rPr>
                <w:color w:val="000000" w:themeColor="text1"/>
                <w:sz w:val="21"/>
                <w:szCs w:val="21"/>
              </w:rPr>
              <w:t xml:space="preserve">di </w:t>
            </w:r>
            <w:proofErr w:type="spellStart"/>
            <w:r w:rsidRPr="007C0E6D">
              <w:rPr>
                <w:color w:val="000000" w:themeColor="text1"/>
                <w:sz w:val="21"/>
                <w:szCs w:val="21"/>
              </w:rPr>
              <w:t>signaling</w:t>
            </w:r>
            <w:proofErr w:type="spellEnd"/>
            <w:r w:rsidRPr="007C0E6D">
              <w:rPr>
                <w:color w:val="000000" w:themeColor="text1"/>
                <w:sz w:val="21"/>
                <w:szCs w:val="21"/>
              </w:rPr>
              <w:t xml:space="preserve"> di KIT </w:t>
            </w:r>
            <w:r>
              <w:rPr>
                <w:color w:val="000000" w:themeColor="text1"/>
                <w:sz w:val="21"/>
                <w:szCs w:val="21"/>
              </w:rPr>
              <w:t>verrà indagata nei modelli cellulari SETD2 on/off sopra citati, già disponibili presso il laboratorio ospitante</w:t>
            </w:r>
            <w:r w:rsidRPr="007C0E6D">
              <w:rPr>
                <w:color w:val="000000" w:themeColor="text1"/>
                <w:sz w:val="21"/>
                <w:szCs w:val="21"/>
              </w:rPr>
              <w:t xml:space="preserve">. </w:t>
            </w:r>
            <w:r>
              <w:rPr>
                <w:color w:val="000000" w:themeColor="text1"/>
                <w:sz w:val="21"/>
                <w:szCs w:val="21"/>
              </w:rPr>
              <w:t xml:space="preserve">L’espressione e la fosforilazione di KIT e dei suoi mediatori a valle verrà valutata mediante Western </w:t>
            </w:r>
            <w:proofErr w:type="spellStart"/>
            <w:r>
              <w:rPr>
                <w:color w:val="000000" w:themeColor="text1"/>
                <w:sz w:val="21"/>
                <w:szCs w:val="21"/>
              </w:rPr>
              <w:t>blotting</w:t>
            </w:r>
            <w:proofErr w:type="spellEnd"/>
            <w:r>
              <w:rPr>
                <w:color w:val="000000" w:themeColor="text1"/>
                <w:sz w:val="21"/>
                <w:szCs w:val="21"/>
              </w:rPr>
              <w:t>.</w:t>
            </w:r>
          </w:p>
          <w:p w14:paraId="79D1A3E1" w14:textId="77777777" w:rsidR="0021544B" w:rsidRPr="00356CC1" w:rsidRDefault="0021544B" w:rsidP="0021544B">
            <w:pPr>
              <w:pStyle w:val="NormaleWeb"/>
              <w:spacing w:before="0" w:beforeAutospacing="0" w:after="120" w:afterAutospacing="0"/>
              <w:rPr>
                <w:color w:val="000000" w:themeColor="text1"/>
                <w:sz w:val="21"/>
                <w:szCs w:val="21"/>
              </w:rPr>
            </w:pPr>
            <w:r w:rsidRPr="00356CC1">
              <w:rPr>
                <w:i/>
                <w:iCs/>
                <w:color w:val="000000" w:themeColor="text1"/>
                <w:sz w:val="21"/>
                <w:szCs w:val="21"/>
              </w:rPr>
              <w:t xml:space="preserve">Task </w:t>
            </w:r>
            <w:r>
              <w:rPr>
                <w:i/>
                <w:iCs/>
                <w:color w:val="000000" w:themeColor="text1"/>
                <w:sz w:val="21"/>
                <w:szCs w:val="21"/>
              </w:rPr>
              <w:t>3</w:t>
            </w:r>
            <w:r w:rsidRPr="00356CC1">
              <w:rPr>
                <w:i/>
                <w:iCs/>
                <w:color w:val="000000" w:themeColor="text1"/>
                <w:sz w:val="21"/>
                <w:szCs w:val="21"/>
              </w:rPr>
              <w:t xml:space="preserve">) </w:t>
            </w:r>
            <w:r>
              <w:rPr>
                <w:i/>
                <w:iCs/>
                <w:color w:val="000000" w:themeColor="text1"/>
                <w:sz w:val="21"/>
                <w:szCs w:val="21"/>
              </w:rPr>
              <w:t xml:space="preserve">valutazione in vitro degli effetti del trattamento con </w:t>
            </w:r>
            <w:proofErr w:type="spellStart"/>
            <w:r>
              <w:rPr>
                <w:i/>
                <w:iCs/>
                <w:color w:val="000000" w:themeColor="text1"/>
                <w:sz w:val="21"/>
                <w:szCs w:val="21"/>
              </w:rPr>
              <w:t>midostaurina</w:t>
            </w:r>
            <w:proofErr w:type="spellEnd"/>
            <w:r>
              <w:rPr>
                <w:i/>
                <w:iCs/>
                <w:color w:val="000000" w:themeColor="text1"/>
                <w:sz w:val="21"/>
                <w:szCs w:val="21"/>
              </w:rPr>
              <w:t xml:space="preserve"> e </w:t>
            </w:r>
            <w:proofErr w:type="spellStart"/>
            <w:r>
              <w:rPr>
                <w:i/>
                <w:iCs/>
                <w:color w:val="000000" w:themeColor="text1"/>
                <w:sz w:val="21"/>
                <w:szCs w:val="21"/>
              </w:rPr>
              <w:t>avapritinib</w:t>
            </w:r>
            <w:proofErr w:type="spellEnd"/>
            <w:r>
              <w:rPr>
                <w:i/>
                <w:iCs/>
                <w:color w:val="000000" w:themeColor="text1"/>
                <w:sz w:val="21"/>
                <w:szCs w:val="21"/>
              </w:rPr>
              <w:t xml:space="preserve"> in </w:t>
            </w:r>
            <w:r w:rsidRPr="00923F29">
              <w:rPr>
                <w:i/>
                <w:iCs/>
                <w:color w:val="000000" w:themeColor="text1"/>
                <w:sz w:val="21"/>
                <w:szCs w:val="21"/>
              </w:rPr>
              <w:t>linee cellulari di SM SETD2-positive e -negative</w:t>
            </w:r>
            <w:r>
              <w:rPr>
                <w:i/>
                <w:iCs/>
                <w:color w:val="000000" w:themeColor="text1"/>
                <w:sz w:val="21"/>
                <w:szCs w:val="21"/>
              </w:rPr>
              <w:t xml:space="preserve">. </w:t>
            </w:r>
            <w:r w:rsidRPr="00356CC1">
              <w:rPr>
                <w:color w:val="000000" w:themeColor="text1"/>
                <w:sz w:val="21"/>
                <w:szCs w:val="21"/>
              </w:rPr>
              <w:t xml:space="preserve">Le modificazioni dei pathways di KIT, SETD2 e dei geni eventualmente individuati dalle analisi </w:t>
            </w:r>
            <w:proofErr w:type="spellStart"/>
            <w:r w:rsidRPr="00356CC1">
              <w:rPr>
                <w:color w:val="000000" w:themeColor="text1"/>
                <w:sz w:val="21"/>
                <w:szCs w:val="21"/>
              </w:rPr>
              <w:t>trascrittomiche</w:t>
            </w:r>
            <w:proofErr w:type="spellEnd"/>
            <w:r w:rsidRPr="00356CC1">
              <w:rPr>
                <w:color w:val="000000" w:themeColor="text1"/>
                <w:sz w:val="21"/>
                <w:szCs w:val="21"/>
              </w:rPr>
              <w:t xml:space="preserve"> e </w:t>
            </w:r>
            <w:proofErr w:type="spellStart"/>
            <w:r w:rsidRPr="00356CC1">
              <w:rPr>
                <w:color w:val="000000" w:themeColor="text1"/>
                <w:sz w:val="21"/>
                <w:szCs w:val="21"/>
              </w:rPr>
              <w:t>interattomiche</w:t>
            </w:r>
            <w:proofErr w:type="spellEnd"/>
            <w:r w:rsidRPr="00356CC1">
              <w:rPr>
                <w:color w:val="000000" w:themeColor="text1"/>
                <w:sz w:val="21"/>
                <w:szCs w:val="21"/>
              </w:rPr>
              <w:t xml:space="preserve"> in seguito al trattamento con </w:t>
            </w:r>
            <w:proofErr w:type="spellStart"/>
            <w:r w:rsidRPr="00356CC1">
              <w:rPr>
                <w:color w:val="000000" w:themeColor="text1"/>
                <w:sz w:val="21"/>
                <w:szCs w:val="21"/>
              </w:rPr>
              <w:t>midostaurina</w:t>
            </w:r>
            <w:proofErr w:type="spellEnd"/>
            <w:r w:rsidRPr="00356CC1">
              <w:rPr>
                <w:color w:val="000000" w:themeColor="text1"/>
                <w:sz w:val="21"/>
                <w:szCs w:val="21"/>
              </w:rPr>
              <w:t xml:space="preserve"> e </w:t>
            </w:r>
            <w:proofErr w:type="spellStart"/>
            <w:r w:rsidRPr="00356CC1">
              <w:rPr>
                <w:color w:val="000000" w:themeColor="text1"/>
                <w:sz w:val="21"/>
                <w:szCs w:val="21"/>
              </w:rPr>
              <w:t>avapritinib</w:t>
            </w:r>
            <w:proofErr w:type="spellEnd"/>
            <w:r w:rsidRPr="00356CC1">
              <w:rPr>
                <w:color w:val="000000" w:themeColor="text1"/>
                <w:sz w:val="21"/>
                <w:szCs w:val="21"/>
              </w:rPr>
              <w:t xml:space="preserve"> </w:t>
            </w:r>
            <w:r>
              <w:rPr>
                <w:color w:val="000000" w:themeColor="text1"/>
                <w:sz w:val="21"/>
                <w:szCs w:val="21"/>
              </w:rPr>
              <w:t xml:space="preserve">verranno valutate mediante </w:t>
            </w:r>
            <w:proofErr w:type="spellStart"/>
            <w:r>
              <w:rPr>
                <w:color w:val="000000" w:themeColor="text1"/>
                <w:sz w:val="21"/>
                <w:szCs w:val="21"/>
              </w:rPr>
              <w:t>real</w:t>
            </w:r>
            <w:proofErr w:type="spellEnd"/>
            <w:r>
              <w:rPr>
                <w:color w:val="000000" w:themeColor="text1"/>
                <w:sz w:val="21"/>
                <w:szCs w:val="21"/>
              </w:rPr>
              <w:t xml:space="preserve"> time PCR, Western </w:t>
            </w:r>
            <w:proofErr w:type="spellStart"/>
            <w:r>
              <w:rPr>
                <w:color w:val="000000" w:themeColor="text1"/>
                <w:sz w:val="21"/>
                <w:szCs w:val="21"/>
              </w:rPr>
              <w:t>blotting</w:t>
            </w:r>
            <w:proofErr w:type="spellEnd"/>
            <w:r>
              <w:rPr>
                <w:color w:val="000000" w:themeColor="text1"/>
                <w:sz w:val="21"/>
                <w:szCs w:val="21"/>
              </w:rPr>
              <w:t xml:space="preserve">, </w:t>
            </w:r>
            <w:proofErr w:type="spellStart"/>
            <w:r>
              <w:rPr>
                <w:color w:val="000000" w:themeColor="text1"/>
                <w:sz w:val="21"/>
                <w:szCs w:val="21"/>
              </w:rPr>
              <w:t>citofluorimetria</w:t>
            </w:r>
            <w:proofErr w:type="spellEnd"/>
            <w:r>
              <w:rPr>
                <w:color w:val="000000" w:themeColor="text1"/>
                <w:sz w:val="21"/>
                <w:szCs w:val="21"/>
              </w:rPr>
              <w:t>.</w:t>
            </w:r>
          </w:p>
          <w:p w14:paraId="7A88D7B6" w14:textId="77777777" w:rsidR="0021544B" w:rsidRPr="00CE62A9" w:rsidRDefault="0021544B" w:rsidP="0021544B">
            <w:pPr>
              <w:pStyle w:val="NormaleWeb"/>
              <w:spacing w:before="0" w:beforeAutospacing="0" w:after="120" w:afterAutospacing="0"/>
              <w:rPr>
                <w:color w:val="000000" w:themeColor="text1"/>
                <w:sz w:val="21"/>
                <w:szCs w:val="21"/>
              </w:rPr>
            </w:pPr>
            <w:r w:rsidRPr="00356CC1">
              <w:rPr>
                <w:i/>
                <w:iCs/>
                <w:color w:val="000000" w:themeColor="text1"/>
                <w:sz w:val="21"/>
                <w:szCs w:val="21"/>
              </w:rPr>
              <w:t xml:space="preserve">Task </w:t>
            </w:r>
            <w:r>
              <w:rPr>
                <w:i/>
                <w:iCs/>
                <w:color w:val="000000" w:themeColor="text1"/>
                <w:sz w:val="21"/>
                <w:szCs w:val="21"/>
              </w:rPr>
              <w:t>4</w:t>
            </w:r>
            <w:r w:rsidRPr="00356CC1">
              <w:rPr>
                <w:i/>
                <w:iCs/>
                <w:color w:val="000000" w:themeColor="text1"/>
                <w:sz w:val="21"/>
                <w:szCs w:val="21"/>
              </w:rPr>
              <w:t>): validazione</w:t>
            </w:r>
            <w:r>
              <w:rPr>
                <w:i/>
                <w:iCs/>
                <w:color w:val="000000" w:themeColor="text1"/>
                <w:sz w:val="21"/>
                <w:szCs w:val="21"/>
              </w:rPr>
              <w:t xml:space="preserve"> preliminare</w:t>
            </w:r>
            <w:r w:rsidRPr="00356CC1">
              <w:rPr>
                <w:i/>
                <w:iCs/>
                <w:color w:val="000000" w:themeColor="text1"/>
                <w:sz w:val="21"/>
                <w:szCs w:val="21"/>
              </w:rPr>
              <w:t xml:space="preserve"> delle osservazioni in vitro su campioni</w:t>
            </w:r>
            <w:r>
              <w:rPr>
                <w:i/>
                <w:iCs/>
                <w:color w:val="000000" w:themeColor="text1"/>
                <w:sz w:val="21"/>
                <w:szCs w:val="21"/>
              </w:rPr>
              <w:t xml:space="preserve"> primari di pazienti in trattamento con </w:t>
            </w:r>
            <w:proofErr w:type="spellStart"/>
            <w:r>
              <w:rPr>
                <w:i/>
                <w:iCs/>
                <w:color w:val="000000" w:themeColor="text1"/>
                <w:sz w:val="21"/>
                <w:szCs w:val="21"/>
              </w:rPr>
              <w:t>midostaurina</w:t>
            </w:r>
            <w:proofErr w:type="spellEnd"/>
            <w:r>
              <w:rPr>
                <w:i/>
                <w:iCs/>
                <w:color w:val="000000" w:themeColor="text1"/>
                <w:sz w:val="21"/>
                <w:szCs w:val="21"/>
              </w:rPr>
              <w:t xml:space="preserve"> o </w:t>
            </w:r>
            <w:proofErr w:type="spellStart"/>
            <w:r>
              <w:rPr>
                <w:i/>
                <w:iCs/>
                <w:color w:val="000000" w:themeColor="text1"/>
                <w:sz w:val="21"/>
                <w:szCs w:val="21"/>
              </w:rPr>
              <w:t>avapritinib</w:t>
            </w:r>
            <w:proofErr w:type="spellEnd"/>
            <w:r>
              <w:rPr>
                <w:i/>
                <w:iCs/>
                <w:color w:val="000000" w:themeColor="text1"/>
                <w:sz w:val="21"/>
                <w:szCs w:val="21"/>
              </w:rPr>
              <w:t>.</w:t>
            </w:r>
            <w:r>
              <w:rPr>
                <w:color w:val="000000" w:themeColor="text1"/>
                <w:sz w:val="21"/>
                <w:szCs w:val="21"/>
              </w:rPr>
              <w:t xml:space="preserve"> I</w:t>
            </w:r>
            <w:r w:rsidRPr="009F4DF5">
              <w:rPr>
                <w:color w:val="000000" w:themeColor="text1"/>
                <w:sz w:val="21"/>
                <w:szCs w:val="21"/>
              </w:rPr>
              <w:t xml:space="preserve"> campioni </w:t>
            </w:r>
            <w:r>
              <w:rPr>
                <w:color w:val="000000" w:themeColor="text1"/>
                <w:sz w:val="21"/>
                <w:szCs w:val="21"/>
              </w:rPr>
              <w:t xml:space="preserve">verranno studiati al fine di validare le osservazioni ottenute durante la Task 3 e al fine di correlare se il ripristino di SETD2 o di altri geni e pathways chiave possa essere utilizzato per valutare la sensibilità alla terapia con </w:t>
            </w:r>
            <w:proofErr w:type="spellStart"/>
            <w:r>
              <w:rPr>
                <w:color w:val="000000" w:themeColor="text1"/>
                <w:sz w:val="21"/>
                <w:szCs w:val="21"/>
              </w:rPr>
              <w:t>midostaurina</w:t>
            </w:r>
            <w:proofErr w:type="spellEnd"/>
            <w:r>
              <w:rPr>
                <w:color w:val="000000" w:themeColor="text1"/>
                <w:sz w:val="21"/>
                <w:szCs w:val="21"/>
              </w:rPr>
              <w:t xml:space="preserve"> o </w:t>
            </w:r>
            <w:proofErr w:type="spellStart"/>
            <w:r>
              <w:rPr>
                <w:color w:val="000000" w:themeColor="text1"/>
                <w:sz w:val="21"/>
                <w:szCs w:val="21"/>
              </w:rPr>
              <w:t>avapritinib</w:t>
            </w:r>
            <w:proofErr w:type="spellEnd"/>
            <w:r>
              <w:rPr>
                <w:color w:val="000000" w:themeColor="text1"/>
                <w:sz w:val="21"/>
                <w:szCs w:val="21"/>
              </w:rPr>
              <w:t>, correlando con altri parametri clinici o laboratoristici di risposta.</w:t>
            </w:r>
          </w:p>
          <w:p w14:paraId="6DCAE71F" w14:textId="304C021D" w:rsidR="002463E2" w:rsidRPr="00086925" w:rsidRDefault="002463E2" w:rsidP="0021544B">
            <w:pPr>
              <w:pStyle w:val="NormaleWeb"/>
              <w:spacing w:before="0" w:beforeAutospacing="0" w:after="120" w:afterAutospacing="0"/>
              <w:jc w:val="both"/>
              <w:rPr>
                <w:bCs/>
                <w:sz w:val="21"/>
                <w:szCs w:val="21"/>
              </w:rPr>
            </w:pPr>
          </w:p>
        </w:tc>
      </w:tr>
      <w:tr w:rsidR="008F7FAD" w:rsidRPr="002E1FF5" w14:paraId="048F57B8" w14:textId="77777777" w:rsidTr="00945AFC">
        <w:tc>
          <w:tcPr>
            <w:tcW w:w="8330" w:type="dxa"/>
            <w:gridSpan w:val="5"/>
            <w:shd w:val="clear" w:color="auto" w:fill="auto"/>
            <w:vAlign w:val="center"/>
          </w:tcPr>
          <w:p w14:paraId="66D7AE75" w14:textId="77777777" w:rsidR="008F7FAD" w:rsidRDefault="008F7FAD" w:rsidP="00945AFC">
            <w:pPr>
              <w:spacing w:before="60" w:after="60"/>
              <w:jc w:val="both"/>
              <w:rPr>
                <w:sz w:val="28"/>
                <w:szCs w:val="28"/>
              </w:rPr>
            </w:pPr>
            <w:r>
              <w:rPr>
                <w:b/>
                <w:sz w:val="28"/>
                <w:szCs w:val="28"/>
              </w:rPr>
              <w:lastRenderedPageBreak/>
              <w:t>DESCRIZIONE</w:t>
            </w:r>
            <w:r w:rsidRPr="007A1E3A">
              <w:rPr>
                <w:b/>
                <w:sz w:val="28"/>
                <w:szCs w:val="28"/>
              </w:rPr>
              <w:t xml:space="preserve"> DELLE ATTIVITÀ DELL’ASSEGNISTA</w:t>
            </w:r>
            <w:r w:rsidRPr="00F70053">
              <w:rPr>
                <w:sz w:val="28"/>
                <w:szCs w:val="28"/>
              </w:rPr>
              <w:t xml:space="preserve"> </w:t>
            </w:r>
          </w:p>
          <w:p w14:paraId="7B4CB6D6" w14:textId="77777777" w:rsidR="008F7FAD" w:rsidRDefault="008F7FAD" w:rsidP="00945AFC">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max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p w14:paraId="490F2501" w14:textId="77777777" w:rsidR="008F7FAD" w:rsidRPr="00DB1934" w:rsidRDefault="008F7FAD" w:rsidP="00945AFC">
            <w:pPr>
              <w:spacing w:before="60" w:after="60"/>
              <w:jc w:val="both"/>
              <w:rPr>
                <w:i/>
                <w:sz w:val="20"/>
                <w:szCs w:val="20"/>
              </w:rPr>
            </w:pPr>
            <w:r>
              <w:rPr>
                <w:i/>
                <w:sz w:val="20"/>
                <w:szCs w:val="20"/>
              </w:rPr>
              <w:t xml:space="preserve">(per i </w:t>
            </w:r>
            <w:r w:rsidRPr="00DB1934">
              <w:rPr>
                <w:b/>
                <w:i/>
                <w:sz w:val="20"/>
                <w:szCs w:val="20"/>
                <w:u w:val="single"/>
              </w:rPr>
              <w:t>rinnovi</w:t>
            </w:r>
            <w:r>
              <w:rPr>
                <w:i/>
                <w:sz w:val="20"/>
                <w:szCs w:val="20"/>
              </w:rPr>
              <w:t xml:space="preserve">: max 600 parole – da integrare con la relazione dell’assegnista; formazione raggiunta, attività effettuata, </w:t>
            </w:r>
            <w:r w:rsidRPr="004B08A3">
              <w:rPr>
                <w:i/>
                <w:sz w:val="20"/>
                <w:szCs w:val="20"/>
              </w:rPr>
              <w:t xml:space="preserve">obiettivi </w:t>
            </w:r>
            <w:r>
              <w:rPr>
                <w:i/>
                <w:sz w:val="20"/>
                <w:szCs w:val="20"/>
              </w:rPr>
              <w:t xml:space="preserve">raggiunti/competenze acquisite, </w:t>
            </w:r>
            <w:r w:rsidRPr="004B08A3">
              <w:rPr>
                <w:i/>
                <w:sz w:val="20"/>
                <w:szCs w:val="20"/>
              </w:rPr>
              <w:t>formazione anco</w:t>
            </w:r>
            <w:r>
              <w:rPr>
                <w:i/>
                <w:sz w:val="20"/>
                <w:szCs w:val="20"/>
              </w:rPr>
              <w:t xml:space="preserve">ra da acquisire (se pertinente), </w:t>
            </w:r>
            <w:r w:rsidRPr="004B08A3">
              <w:rPr>
                <w:i/>
                <w:sz w:val="20"/>
                <w:szCs w:val="20"/>
              </w:rPr>
              <w:t>scansione temporale dell’attività durante il rinnovo</w:t>
            </w:r>
            <w:r>
              <w:rPr>
                <w:i/>
                <w:sz w:val="20"/>
                <w:szCs w:val="20"/>
              </w:rPr>
              <w:t>)</w:t>
            </w:r>
          </w:p>
        </w:tc>
        <w:tc>
          <w:tcPr>
            <w:tcW w:w="1524" w:type="dxa"/>
            <w:shd w:val="pct10" w:color="FFFF00" w:fill="auto"/>
            <w:vAlign w:val="center"/>
          </w:tcPr>
          <w:p w14:paraId="650B7B8A" w14:textId="77777777" w:rsidR="008F7FAD" w:rsidRPr="002E1FF5" w:rsidRDefault="008F7FAD" w:rsidP="00945AFC">
            <w:pPr>
              <w:spacing w:before="60" w:after="60"/>
              <w:jc w:val="both"/>
              <w:rPr>
                <w:b/>
                <w:sz w:val="28"/>
                <w:szCs w:val="28"/>
              </w:rPr>
            </w:pPr>
            <w:r w:rsidRPr="00D52083">
              <w:rPr>
                <w:i/>
              </w:rPr>
              <w:t>Punti</w:t>
            </w:r>
          </w:p>
        </w:tc>
      </w:tr>
      <w:tr w:rsidR="008F7FAD" w:rsidRPr="00A4732A" w14:paraId="44D64D99" w14:textId="77777777" w:rsidTr="00945AFC">
        <w:trPr>
          <w:trHeight w:val="3090"/>
        </w:trPr>
        <w:tc>
          <w:tcPr>
            <w:tcW w:w="9854" w:type="dxa"/>
            <w:gridSpan w:val="6"/>
            <w:shd w:val="clear" w:color="auto" w:fill="auto"/>
          </w:tcPr>
          <w:p w14:paraId="6316B979" w14:textId="097E63F7" w:rsidR="008F7FAD" w:rsidRDefault="00394FD4" w:rsidP="00945AFC">
            <w:pPr>
              <w:pStyle w:val="NormaleWeb"/>
              <w:spacing w:before="0" w:beforeAutospacing="0" w:after="120" w:afterAutospacing="0"/>
              <w:jc w:val="both"/>
              <w:rPr>
                <w:color w:val="000000" w:themeColor="text1"/>
                <w:sz w:val="21"/>
                <w:szCs w:val="21"/>
              </w:rPr>
            </w:pPr>
            <w:r w:rsidRPr="00D30F45">
              <w:rPr>
                <w:color w:val="000000" w:themeColor="text1"/>
                <w:sz w:val="21"/>
                <w:szCs w:val="21"/>
                <w:u w:val="single"/>
              </w:rPr>
              <w:lastRenderedPageBreak/>
              <w:t>Competenze richieste:</w:t>
            </w:r>
            <w:r w:rsidRPr="00394FD4">
              <w:rPr>
                <w:color w:val="000000" w:themeColor="text1"/>
                <w:sz w:val="21"/>
                <w:szCs w:val="21"/>
              </w:rPr>
              <w:t xml:space="preserve"> </w:t>
            </w:r>
            <w:r>
              <w:rPr>
                <w:color w:val="000000" w:themeColor="text1"/>
                <w:sz w:val="21"/>
                <w:szCs w:val="21"/>
              </w:rPr>
              <w:t xml:space="preserve">biologia molecolare: estrazione di acidi nucleici, </w:t>
            </w:r>
            <w:proofErr w:type="spellStart"/>
            <w:r w:rsidR="00CE62A9">
              <w:rPr>
                <w:color w:val="000000" w:themeColor="text1"/>
                <w:sz w:val="21"/>
                <w:szCs w:val="21"/>
              </w:rPr>
              <w:t>real</w:t>
            </w:r>
            <w:proofErr w:type="spellEnd"/>
            <w:r w:rsidR="00CE62A9">
              <w:rPr>
                <w:color w:val="000000" w:themeColor="text1"/>
                <w:sz w:val="21"/>
                <w:szCs w:val="21"/>
              </w:rPr>
              <w:t xml:space="preserve"> time PCR</w:t>
            </w:r>
            <w:r>
              <w:rPr>
                <w:color w:val="000000" w:themeColor="text1"/>
                <w:sz w:val="21"/>
                <w:szCs w:val="21"/>
              </w:rPr>
              <w:t xml:space="preserve">; biologia cellulare: isolamento di proteine, Western </w:t>
            </w:r>
            <w:proofErr w:type="spellStart"/>
            <w:r>
              <w:rPr>
                <w:color w:val="000000" w:themeColor="text1"/>
                <w:sz w:val="21"/>
                <w:szCs w:val="21"/>
              </w:rPr>
              <w:t>blotting</w:t>
            </w:r>
            <w:proofErr w:type="spellEnd"/>
            <w:r>
              <w:rPr>
                <w:color w:val="000000" w:themeColor="text1"/>
                <w:sz w:val="21"/>
                <w:szCs w:val="21"/>
              </w:rPr>
              <w:t xml:space="preserve">, </w:t>
            </w:r>
            <w:r w:rsidR="00CE62A9">
              <w:rPr>
                <w:color w:val="000000" w:themeColor="text1"/>
                <w:sz w:val="21"/>
                <w:szCs w:val="21"/>
              </w:rPr>
              <w:t>co</w:t>
            </w:r>
            <w:r w:rsidR="00657137">
              <w:rPr>
                <w:color w:val="000000" w:themeColor="text1"/>
                <w:sz w:val="21"/>
                <w:szCs w:val="21"/>
              </w:rPr>
              <w:t>-</w:t>
            </w:r>
            <w:r w:rsidR="00CE62A9">
              <w:rPr>
                <w:color w:val="000000" w:themeColor="text1"/>
                <w:sz w:val="21"/>
                <w:szCs w:val="21"/>
              </w:rPr>
              <w:t xml:space="preserve">immunoprecipitazione; </w:t>
            </w:r>
            <w:r w:rsidR="009C7D62">
              <w:rPr>
                <w:color w:val="000000" w:themeColor="text1"/>
                <w:sz w:val="21"/>
                <w:szCs w:val="21"/>
              </w:rPr>
              <w:t xml:space="preserve">test di farmaci in vitro, </w:t>
            </w:r>
            <w:r>
              <w:rPr>
                <w:color w:val="000000" w:themeColor="text1"/>
                <w:sz w:val="21"/>
                <w:szCs w:val="21"/>
              </w:rPr>
              <w:t>saggi</w:t>
            </w:r>
            <w:r w:rsidR="00D30F45">
              <w:rPr>
                <w:color w:val="000000" w:themeColor="text1"/>
                <w:sz w:val="21"/>
                <w:szCs w:val="21"/>
              </w:rPr>
              <w:t xml:space="preserve"> di vitalità cellulare, </w:t>
            </w:r>
            <w:r w:rsidR="009C7D62">
              <w:rPr>
                <w:color w:val="000000" w:themeColor="text1"/>
                <w:sz w:val="21"/>
                <w:szCs w:val="21"/>
              </w:rPr>
              <w:t xml:space="preserve">saggi di </w:t>
            </w:r>
            <w:r w:rsidR="00D30F45">
              <w:rPr>
                <w:color w:val="000000" w:themeColor="text1"/>
                <w:sz w:val="21"/>
                <w:szCs w:val="21"/>
              </w:rPr>
              <w:t>apoptosi, saggi</w:t>
            </w:r>
            <w:r>
              <w:rPr>
                <w:color w:val="000000" w:themeColor="text1"/>
                <w:sz w:val="21"/>
                <w:szCs w:val="21"/>
              </w:rPr>
              <w:t xml:space="preserve"> </w:t>
            </w:r>
            <w:proofErr w:type="spellStart"/>
            <w:r>
              <w:rPr>
                <w:color w:val="000000" w:themeColor="text1"/>
                <w:sz w:val="21"/>
                <w:szCs w:val="21"/>
              </w:rPr>
              <w:t>clonogenici</w:t>
            </w:r>
            <w:proofErr w:type="spellEnd"/>
            <w:r w:rsidR="00D30F45">
              <w:rPr>
                <w:color w:val="000000" w:themeColor="text1"/>
                <w:sz w:val="21"/>
                <w:szCs w:val="21"/>
              </w:rPr>
              <w:t>.</w:t>
            </w:r>
          </w:p>
          <w:p w14:paraId="1A328D8A" w14:textId="2C83760D" w:rsidR="00AB1BCA" w:rsidRDefault="00AB1BCA" w:rsidP="00945AFC">
            <w:pPr>
              <w:pStyle w:val="NormaleWeb"/>
              <w:spacing w:before="0" w:beforeAutospacing="0" w:after="120" w:afterAutospacing="0"/>
              <w:jc w:val="both"/>
              <w:rPr>
                <w:color w:val="000000" w:themeColor="text1"/>
                <w:sz w:val="21"/>
                <w:szCs w:val="21"/>
              </w:rPr>
            </w:pPr>
            <w:r w:rsidRPr="00D30F45">
              <w:rPr>
                <w:color w:val="000000" w:themeColor="text1"/>
                <w:sz w:val="21"/>
                <w:szCs w:val="21"/>
                <w:u w:val="single"/>
              </w:rPr>
              <w:t>Scansione temporale della formazione:</w:t>
            </w:r>
            <w:r>
              <w:rPr>
                <w:color w:val="000000" w:themeColor="text1"/>
                <w:sz w:val="21"/>
                <w:szCs w:val="21"/>
              </w:rPr>
              <w:t xml:space="preserve"> mes</w:t>
            </w:r>
            <w:r w:rsidR="00CE62A9">
              <w:rPr>
                <w:color w:val="000000" w:themeColor="text1"/>
                <w:sz w:val="21"/>
                <w:szCs w:val="21"/>
              </w:rPr>
              <w:t>e</w:t>
            </w:r>
            <w:r>
              <w:rPr>
                <w:color w:val="000000" w:themeColor="text1"/>
                <w:sz w:val="21"/>
                <w:szCs w:val="21"/>
              </w:rPr>
              <w:t xml:space="preserve"> 1: consolidamento</w:t>
            </w:r>
            <w:r w:rsidR="00E8112E">
              <w:rPr>
                <w:color w:val="000000" w:themeColor="text1"/>
                <w:sz w:val="21"/>
                <w:szCs w:val="21"/>
              </w:rPr>
              <w:t xml:space="preserve"> e verifica</w:t>
            </w:r>
            <w:r>
              <w:rPr>
                <w:color w:val="000000" w:themeColor="text1"/>
                <w:sz w:val="21"/>
                <w:szCs w:val="21"/>
              </w:rPr>
              <w:t xml:space="preserve"> delle competenze e dell’utilizzo in autonomia delle tecniche richieste per l’esecuzione del progetto</w:t>
            </w:r>
            <w:r w:rsidR="00E8112E">
              <w:rPr>
                <w:color w:val="000000" w:themeColor="text1"/>
                <w:sz w:val="21"/>
                <w:szCs w:val="21"/>
              </w:rPr>
              <w:t xml:space="preserve"> mediante affiancamento al tutor o a</w:t>
            </w:r>
            <w:r w:rsidR="00DD0303">
              <w:rPr>
                <w:color w:val="000000" w:themeColor="text1"/>
                <w:sz w:val="21"/>
                <w:szCs w:val="21"/>
              </w:rPr>
              <w:t>d un</w:t>
            </w:r>
            <w:r w:rsidR="00E8112E">
              <w:rPr>
                <w:color w:val="000000" w:themeColor="text1"/>
                <w:sz w:val="21"/>
                <w:szCs w:val="21"/>
              </w:rPr>
              <w:t xml:space="preserve"> senior member del gruppo di ricerca</w:t>
            </w:r>
            <w:r>
              <w:rPr>
                <w:color w:val="000000" w:themeColor="text1"/>
                <w:sz w:val="21"/>
                <w:szCs w:val="21"/>
              </w:rPr>
              <w:t xml:space="preserve">; mesi </w:t>
            </w:r>
            <w:r w:rsidR="00CE62A9">
              <w:rPr>
                <w:color w:val="000000" w:themeColor="text1"/>
                <w:sz w:val="21"/>
                <w:szCs w:val="21"/>
              </w:rPr>
              <w:t>2</w:t>
            </w:r>
            <w:r>
              <w:rPr>
                <w:color w:val="000000" w:themeColor="text1"/>
                <w:sz w:val="21"/>
                <w:szCs w:val="21"/>
              </w:rPr>
              <w:t>-12: discussione interattiva</w:t>
            </w:r>
            <w:r w:rsidR="00E8112E">
              <w:rPr>
                <w:color w:val="000000" w:themeColor="text1"/>
                <w:sz w:val="21"/>
                <w:szCs w:val="21"/>
              </w:rPr>
              <w:t xml:space="preserve"> a cadenza settimanale</w:t>
            </w:r>
            <w:r>
              <w:rPr>
                <w:color w:val="000000" w:themeColor="text1"/>
                <w:sz w:val="21"/>
                <w:szCs w:val="21"/>
              </w:rPr>
              <w:t xml:space="preserve"> dello status di avanzamento del progetto, dei risultati parziali, di eventuali ostacoli o criticità e delle loro possibili soluzioni,</w:t>
            </w:r>
            <w:r w:rsidR="00E8112E">
              <w:rPr>
                <w:color w:val="000000" w:themeColor="text1"/>
                <w:sz w:val="21"/>
                <w:szCs w:val="21"/>
              </w:rPr>
              <w:t xml:space="preserve"> e pianificazione delle attività successive con il tutor e il resto del gruppo di ricerca;</w:t>
            </w:r>
            <w:r>
              <w:rPr>
                <w:color w:val="000000" w:themeColor="text1"/>
                <w:sz w:val="21"/>
                <w:szCs w:val="21"/>
              </w:rPr>
              <w:t xml:space="preserve"> mesi 9-12: stesura e sottomissione sotto supervisione di abstracts riportanti i risultati del progetto; seminari interni</w:t>
            </w:r>
            <w:r w:rsidR="00CE62A9">
              <w:rPr>
                <w:color w:val="000000" w:themeColor="text1"/>
                <w:sz w:val="21"/>
                <w:szCs w:val="21"/>
              </w:rPr>
              <w:t xml:space="preserve"> all’UO</w:t>
            </w:r>
            <w:r>
              <w:rPr>
                <w:color w:val="000000" w:themeColor="text1"/>
                <w:sz w:val="21"/>
                <w:szCs w:val="21"/>
              </w:rPr>
              <w:t xml:space="preserve"> di presentazione dei risultati. La frequenza di eventi formativi sulla SM a carattere nazionale o internazionale </w:t>
            </w:r>
            <w:r w:rsidR="00CE62A9">
              <w:rPr>
                <w:color w:val="000000" w:themeColor="text1"/>
                <w:sz w:val="21"/>
                <w:szCs w:val="21"/>
              </w:rPr>
              <w:t>potrà avvenire</w:t>
            </w:r>
            <w:r>
              <w:rPr>
                <w:color w:val="000000" w:themeColor="text1"/>
                <w:sz w:val="21"/>
                <w:szCs w:val="21"/>
              </w:rPr>
              <w:t xml:space="preserve"> nel corso di</w:t>
            </w:r>
            <w:r w:rsidR="00CE62A9">
              <w:rPr>
                <w:color w:val="000000" w:themeColor="text1"/>
                <w:sz w:val="21"/>
                <w:szCs w:val="21"/>
              </w:rPr>
              <w:t xml:space="preserve"> tutti i</w:t>
            </w:r>
            <w:r>
              <w:rPr>
                <w:color w:val="000000" w:themeColor="text1"/>
                <w:sz w:val="21"/>
                <w:szCs w:val="21"/>
              </w:rPr>
              <w:t xml:space="preserve"> 12 mesi.</w:t>
            </w:r>
          </w:p>
          <w:p w14:paraId="280A747B" w14:textId="47D886FE" w:rsidR="00D30F45" w:rsidRDefault="00D30F45" w:rsidP="00945AFC">
            <w:pPr>
              <w:pStyle w:val="NormaleWeb"/>
              <w:spacing w:before="0" w:beforeAutospacing="0" w:after="120" w:afterAutospacing="0"/>
              <w:jc w:val="both"/>
              <w:rPr>
                <w:color w:val="000000" w:themeColor="text1"/>
                <w:sz w:val="21"/>
                <w:szCs w:val="21"/>
              </w:rPr>
            </w:pPr>
            <w:r w:rsidRPr="00D30F45">
              <w:rPr>
                <w:color w:val="000000" w:themeColor="text1"/>
                <w:sz w:val="21"/>
                <w:szCs w:val="21"/>
                <w:u w:val="single"/>
              </w:rPr>
              <w:t>Scansione temporale dell</w:t>
            </w:r>
            <w:r>
              <w:rPr>
                <w:color w:val="000000" w:themeColor="text1"/>
                <w:sz w:val="21"/>
                <w:szCs w:val="21"/>
                <w:u w:val="single"/>
              </w:rPr>
              <w:t>’attività</w:t>
            </w:r>
            <w:r w:rsidRPr="00563ADB">
              <w:rPr>
                <w:color w:val="000000" w:themeColor="text1"/>
                <w:sz w:val="21"/>
                <w:szCs w:val="21"/>
              </w:rPr>
              <w:t xml:space="preserve">: </w:t>
            </w:r>
            <w:r w:rsidR="00563ADB">
              <w:rPr>
                <w:color w:val="000000" w:themeColor="text1"/>
                <w:sz w:val="21"/>
                <w:szCs w:val="21"/>
              </w:rPr>
              <w:t xml:space="preserve">Task </w:t>
            </w:r>
            <w:r w:rsidR="00657137">
              <w:rPr>
                <w:color w:val="000000" w:themeColor="text1"/>
                <w:sz w:val="21"/>
                <w:szCs w:val="21"/>
              </w:rPr>
              <w:t>1</w:t>
            </w:r>
            <w:r w:rsidR="00563ADB">
              <w:rPr>
                <w:color w:val="000000" w:themeColor="text1"/>
                <w:sz w:val="21"/>
                <w:szCs w:val="21"/>
              </w:rPr>
              <w:t>: m</w:t>
            </w:r>
            <w:r>
              <w:rPr>
                <w:color w:val="000000" w:themeColor="text1"/>
                <w:sz w:val="21"/>
                <w:szCs w:val="21"/>
              </w:rPr>
              <w:t xml:space="preserve">esi </w:t>
            </w:r>
            <w:r w:rsidR="00563ADB">
              <w:rPr>
                <w:color w:val="000000" w:themeColor="text1"/>
                <w:sz w:val="21"/>
                <w:szCs w:val="21"/>
              </w:rPr>
              <w:t>2</w:t>
            </w:r>
            <w:r>
              <w:rPr>
                <w:color w:val="000000" w:themeColor="text1"/>
                <w:sz w:val="21"/>
                <w:szCs w:val="21"/>
              </w:rPr>
              <w:t>-</w:t>
            </w:r>
            <w:r w:rsidR="00563ADB">
              <w:rPr>
                <w:color w:val="000000" w:themeColor="text1"/>
                <w:sz w:val="21"/>
                <w:szCs w:val="21"/>
              </w:rPr>
              <w:t>3.</w:t>
            </w:r>
            <w:r>
              <w:rPr>
                <w:color w:val="000000" w:themeColor="text1"/>
                <w:sz w:val="21"/>
                <w:szCs w:val="21"/>
              </w:rPr>
              <w:t xml:space="preserve"> </w:t>
            </w:r>
            <w:r w:rsidR="00563ADB">
              <w:rPr>
                <w:color w:val="000000" w:themeColor="text1"/>
                <w:sz w:val="21"/>
                <w:szCs w:val="21"/>
              </w:rPr>
              <w:t xml:space="preserve">Task </w:t>
            </w:r>
            <w:r w:rsidR="00657137">
              <w:rPr>
                <w:color w:val="000000" w:themeColor="text1"/>
                <w:sz w:val="21"/>
                <w:szCs w:val="21"/>
              </w:rPr>
              <w:t>2</w:t>
            </w:r>
            <w:r w:rsidR="00563ADB">
              <w:rPr>
                <w:color w:val="000000" w:themeColor="text1"/>
                <w:sz w:val="21"/>
                <w:szCs w:val="21"/>
              </w:rPr>
              <w:t xml:space="preserve">: mesi 4-6. Task </w:t>
            </w:r>
            <w:r w:rsidR="00657137">
              <w:rPr>
                <w:color w:val="000000" w:themeColor="text1"/>
                <w:sz w:val="21"/>
                <w:szCs w:val="21"/>
              </w:rPr>
              <w:t>3</w:t>
            </w:r>
            <w:r w:rsidR="00563ADB">
              <w:rPr>
                <w:color w:val="000000" w:themeColor="text1"/>
                <w:sz w:val="21"/>
                <w:szCs w:val="21"/>
              </w:rPr>
              <w:t xml:space="preserve">: mesi 7-9. Task </w:t>
            </w:r>
            <w:r w:rsidR="00657137">
              <w:rPr>
                <w:color w:val="000000" w:themeColor="text1"/>
                <w:sz w:val="21"/>
                <w:szCs w:val="21"/>
              </w:rPr>
              <w:t>4</w:t>
            </w:r>
            <w:r w:rsidR="00563ADB">
              <w:rPr>
                <w:color w:val="000000" w:themeColor="text1"/>
                <w:sz w:val="21"/>
                <w:szCs w:val="21"/>
              </w:rPr>
              <w:t>: m</w:t>
            </w:r>
            <w:r w:rsidR="00DD0303">
              <w:rPr>
                <w:color w:val="000000" w:themeColor="text1"/>
                <w:sz w:val="21"/>
                <w:szCs w:val="21"/>
              </w:rPr>
              <w:t>esi 9-12</w:t>
            </w:r>
            <w:r w:rsidR="00563ADB">
              <w:rPr>
                <w:color w:val="000000" w:themeColor="text1"/>
                <w:sz w:val="21"/>
                <w:szCs w:val="21"/>
              </w:rPr>
              <w:t>.</w:t>
            </w:r>
          </w:p>
          <w:p w14:paraId="276BD6FC" w14:textId="34CB4087" w:rsidR="00030847" w:rsidRDefault="00DD0303" w:rsidP="00030847">
            <w:pPr>
              <w:pStyle w:val="NormaleWeb"/>
              <w:spacing w:before="0" w:beforeAutospacing="0" w:after="120" w:afterAutospacing="0"/>
              <w:jc w:val="both"/>
              <w:rPr>
                <w:color w:val="000000" w:themeColor="text1"/>
                <w:sz w:val="21"/>
                <w:szCs w:val="21"/>
              </w:rPr>
            </w:pPr>
            <w:r w:rsidRPr="00DD0303">
              <w:rPr>
                <w:color w:val="000000" w:themeColor="text1"/>
                <w:sz w:val="21"/>
                <w:szCs w:val="21"/>
                <w:u w:val="single"/>
              </w:rPr>
              <w:t>Obiettivi primari:</w:t>
            </w:r>
            <w:r>
              <w:rPr>
                <w:color w:val="000000" w:themeColor="text1"/>
                <w:sz w:val="21"/>
                <w:szCs w:val="21"/>
              </w:rPr>
              <w:t xml:space="preserve"> consolidamento dell’autonomia nella gestione di un progetto di ricerca (pianificazione degli esperimenti, analisi dei risultati, </w:t>
            </w:r>
            <w:proofErr w:type="spellStart"/>
            <w:r>
              <w:rPr>
                <w:color w:val="000000" w:themeColor="text1"/>
                <w:sz w:val="21"/>
                <w:szCs w:val="21"/>
              </w:rPr>
              <w:t>troubleshooting</w:t>
            </w:r>
            <w:proofErr w:type="spellEnd"/>
            <w:r>
              <w:rPr>
                <w:color w:val="000000" w:themeColor="text1"/>
                <w:sz w:val="21"/>
                <w:szCs w:val="21"/>
              </w:rPr>
              <w:t xml:space="preserve">, </w:t>
            </w:r>
            <w:proofErr w:type="spellStart"/>
            <w:r>
              <w:rPr>
                <w:color w:val="000000" w:themeColor="text1"/>
                <w:sz w:val="21"/>
                <w:szCs w:val="21"/>
              </w:rPr>
              <w:t>etc</w:t>
            </w:r>
            <w:proofErr w:type="spellEnd"/>
            <w:r>
              <w:rPr>
                <w:color w:val="000000" w:themeColor="text1"/>
                <w:sz w:val="21"/>
                <w:szCs w:val="21"/>
              </w:rPr>
              <w:t xml:space="preserve">) e nella disseminazione dei risultati. </w:t>
            </w:r>
            <w:r w:rsidR="008500F4">
              <w:rPr>
                <w:color w:val="000000" w:themeColor="text1"/>
                <w:sz w:val="21"/>
                <w:szCs w:val="21"/>
              </w:rPr>
              <w:t>P</w:t>
            </w:r>
            <w:r>
              <w:rPr>
                <w:color w:val="000000" w:themeColor="text1"/>
                <w:sz w:val="21"/>
                <w:szCs w:val="21"/>
              </w:rPr>
              <w:t>roduzione di nuove conoscenze sul</w:t>
            </w:r>
            <w:r w:rsidR="00F230F7">
              <w:rPr>
                <w:color w:val="000000" w:themeColor="text1"/>
                <w:sz w:val="21"/>
                <w:szCs w:val="21"/>
              </w:rPr>
              <w:t xml:space="preserve"> ruolo patogenetico di SETD2 in particolare nella biologia delle forme avanzate di </w:t>
            </w:r>
            <w:r w:rsidR="00657137">
              <w:rPr>
                <w:color w:val="000000" w:themeColor="text1"/>
                <w:sz w:val="21"/>
                <w:szCs w:val="21"/>
              </w:rPr>
              <w:t>MS</w:t>
            </w:r>
            <w:r w:rsidR="00030847">
              <w:rPr>
                <w:color w:val="000000" w:themeColor="text1"/>
                <w:sz w:val="21"/>
                <w:szCs w:val="21"/>
              </w:rPr>
              <w:t>.</w:t>
            </w:r>
          </w:p>
          <w:p w14:paraId="0A24E79E" w14:textId="040D28CC" w:rsidR="00DD0303" w:rsidRPr="00D30F45" w:rsidRDefault="00DD0303" w:rsidP="00030847">
            <w:pPr>
              <w:pStyle w:val="NormaleWeb"/>
              <w:spacing w:before="0" w:beforeAutospacing="0" w:after="120" w:afterAutospacing="0"/>
              <w:jc w:val="both"/>
              <w:rPr>
                <w:color w:val="000000" w:themeColor="text1"/>
                <w:sz w:val="21"/>
                <w:szCs w:val="21"/>
              </w:rPr>
            </w:pPr>
            <w:r w:rsidRPr="00DD0303">
              <w:rPr>
                <w:color w:val="000000" w:themeColor="text1"/>
                <w:sz w:val="21"/>
                <w:szCs w:val="21"/>
                <w:u w:val="single"/>
              </w:rPr>
              <w:t>Obiettivi secondari:</w:t>
            </w:r>
            <w:r>
              <w:rPr>
                <w:color w:val="000000" w:themeColor="text1"/>
                <w:sz w:val="21"/>
                <w:szCs w:val="21"/>
              </w:rPr>
              <w:t xml:space="preserve"> </w:t>
            </w:r>
            <w:r w:rsidR="008500F4">
              <w:rPr>
                <w:color w:val="000000" w:themeColor="text1"/>
                <w:sz w:val="21"/>
                <w:szCs w:val="21"/>
              </w:rPr>
              <w:t>acquisizione di un bagaglio di competenze in merito a come la MS può essere diagnosticata, stratificata ed indirizzata alla terapia.</w:t>
            </w:r>
          </w:p>
        </w:tc>
      </w:tr>
    </w:tbl>
    <w:p w14:paraId="6C6BBF12" w14:textId="77777777" w:rsidR="008F7FAD" w:rsidRDefault="008F7FAD" w:rsidP="008F7FAD">
      <w:pPr>
        <w:jc w:val="both"/>
        <w:rPr>
          <w:color w:val="FF0000"/>
        </w:rPr>
      </w:pPr>
      <w:r>
        <w:rPr>
          <w:color w:val="FF0000"/>
        </w:rPr>
        <w:t>SE RINNOVO, SI RICORDA DI ALLEGARE ANCHE LA RELAZIONE DELL’ASSEGNISTA</w:t>
      </w:r>
      <w:r w:rsidR="00052630">
        <w:rPr>
          <w:color w:val="FF0000"/>
        </w:rPr>
        <w:t xml:space="preserve"> CON LA SUA PRODUZIONE SCIENTIFICA</w:t>
      </w:r>
      <w:r>
        <w:rPr>
          <w:color w:val="FF0000"/>
        </w:rPr>
        <w:t>.</w:t>
      </w:r>
    </w:p>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5340F52E" w:rsidR="00341677" w:rsidRPr="00622054" w:rsidRDefault="00622054" w:rsidP="00D90C0A">
            <w:pPr>
              <w:pStyle w:val="NormaleWeb"/>
              <w:spacing w:before="0" w:beforeAutospacing="0" w:after="120" w:afterAutospacing="0"/>
              <w:jc w:val="both"/>
              <w:rPr>
                <w:b/>
                <w:color w:val="FF0000"/>
                <w:sz w:val="21"/>
                <w:szCs w:val="21"/>
              </w:rPr>
            </w:pPr>
            <w:r w:rsidRPr="00622054">
              <w:rPr>
                <w:b/>
                <w:color w:val="000000" w:themeColor="text1"/>
                <w:sz w:val="21"/>
                <w:szCs w:val="21"/>
              </w:rPr>
              <w:t>NO</w:t>
            </w:r>
            <w:r>
              <w:rPr>
                <w:b/>
                <w:color w:val="000000" w:themeColor="text1"/>
                <w:sz w:val="21"/>
                <w:szCs w:val="21"/>
              </w:rPr>
              <w:t>N PREVISTA</w:t>
            </w:r>
          </w:p>
        </w:tc>
      </w:tr>
      <w:tr w:rsidR="00E603B8" w:rsidRPr="00E603B8" w14:paraId="76C48DE9" w14:textId="77777777" w:rsidTr="00341677">
        <w:tc>
          <w:tcPr>
            <w:tcW w:w="9889" w:type="dxa"/>
            <w:tcBorders>
              <w:top w:val="single" w:sz="4" w:space="0" w:color="auto"/>
              <w:left w:val="single" w:sz="4" w:space="0" w:color="auto"/>
              <w:bottom w:val="single" w:sz="4" w:space="0" w:color="auto"/>
              <w:right w:val="single" w:sz="4" w:space="0" w:color="auto"/>
            </w:tcBorders>
          </w:tcPr>
          <w:p w14:paraId="4401090A"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25B1E51E" w14:textId="77777777" w:rsidTr="00341677">
        <w:tc>
          <w:tcPr>
            <w:tcW w:w="9889" w:type="dxa"/>
            <w:tcBorders>
              <w:top w:val="single" w:sz="4" w:space="0" w:color="auto"/>
              <w:left w:val="single" w:sz="4" w:space="0" w:color="auto"/>
              <w:bottom w:val="single" w:sz="4" w:space="0" w:color="auto"/>
              <w:right w:val="single" w:sz="4" w:space="0" w:color="auto"/>
            </w:tcBorders>
          </w:tcPr>
          <w:p w14:paraId="6D851635"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4BABBBB2"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34AF7F19" w14:textId="77777777" w:rsidR="00341677" w:rsidRPr="00E603B8" w:rsidRDefault="00341677" w:rsidP="00D90C0A">
            <w:pPr>
              <w:pStyle w:val="NormaleWeb"/>
              <w:spacing w:before="0" w:beforeAutospacing="0" w:after="120" w:afterAutospacing="0"/>
              <w:jc w:val="both"/>
              <w:rPr>
                <w:color w:val="FF0000"/>
                <w:sz w:val="21"/>
                <w:szCs w:val="21"/>
              </w:rPr>
            </w:pPr>
            <w:r w:rsidRPr="00E603B8">
              <w:rPr>
                <w:color w:val="FF0000"/>
              </w:rPr>
              <w:t>AZIENDA SANITARIA PRESSO CUI SI SVOLGERÀ L’ATTIVITÀ</w:t>
            </w:r>
          </w:p>
        </w:tc>
      </w:tr>
      <w:tr w:rsidR="00341677" w14:paraId="0FA91781" w14:textId="77777777" w:rsidTr="00341677">
        <w:tc>
          <w:tcPr>
            <w:tcW w:w="9889" w:type="dxa"/>
            <w:tcBorders>
              <w:top w:val="single" w:sz="4" w:space="0" w:color="auto"/>
              <w:left w:val="single" w:sz="4" w:space="0" w:color="auto"/>
              <w:bottom w:val="single" w:sz="4" w:space="0" w:color="auto"/>
              <w:right w:val="single" w:sz="4" w:space="0" w:color="auto"/>
            </w:tcBorders>
          </w:tcPr>
          <w:p w14:paraId="164C7ECC" w14:textId="77777777" w:rsidR="00341677" w:rsidRDefault="00341677" w:rsidP="00D90C0A">
            <w:pPr>
              <w:pStyle w:val="NormaleWeb"/>
              <w:spacing w:before="0" w:beforeAutospacing="0" w:after="120" w:afterAutospacing="0"/>
              <w:jc w:val="both"/>
              <w:rPr>
                <w:sz w:val="21"/>
                <w:szCs w:val="21"/>
              </w:rPr>
            </w:pPr>
          </w:p>
        </w:tc>
      </w:tr>
    </w:tbl>
    <w:p w14:paraId="64F75699" w14:textId="77777777" w:rsidR="008F7FAD" w:rsidRDefault="008F7FAD" w:rsidP="008F7FAD">
      <w:pPr>
        <w:jc w:val="both"/>
      </w:pPr>
      <w:r w:rsidRPr="00946994">
        <w:t xml:space="preserve">Si ricorda che, come previsto dagli Accordi sull’impiego nell’attività assistenziale dei Titolari di assegni di ricerca, sottoscritti tra l’Università di Bologna e le Aziende Ospedaliere di riferimento, una volta stipulato il contratto con il vincitore della selezione, </w:t>
      </w:r>
      <w:r w:rsidRPr="00460601">
        <w:t>il tutor deve</w:t>
      </w:r>
      <w:r w:rsidRPr="00946994">
        <w:t xml:space="preserve"> consegnare alla Direzione Medica Ospedaliera la relativa modulistica, nella quale andranno riportate le attività qui segnalate.</w:t>
      </w:r>
    </w:p>
    <w:p w14:paraId="7FC22842" w14:textId="77777777" w:rsidR="00984211" w:rsidRDefault="00984211" w:rsidP="008F7FAD">
      <w:pPr>
        <w:jc w:val="both"/>
      </w:pPr>
    </w:p>
    <w:p w14:paraId="568F75C5" w14:textId="77777777" w:rsidR="00984211" w:rsidRDefault="00984211" w:rsidP="008F7FAD">
      <w:pPr>
        <w:jc w:val="both"/>
      </w:pPr>
    </w:p>
    <w:p w14:paraId="58A5E1E7" w14:textId="77777777" w:rsidR="00984211" w:rsidRPr="00C757B5" w:rsidRDefault="00984211" w:rsidP="008F7FAD">
      <w:pPr>
        <w:jc w:val="both"/>
        <w:rPr>
          <w:rFonts w:ascii="Trajan" w:hAnsi="Trajan"/>
        </w:rPr>
      </w:pPr>
      <w:bookmarkStart w:id="0" w:name="_GoBack"/>
      <w:bookmarkEnd w:id="0"/>
    </w:p>
    <w:sectPr w:rsidR="00984211" w:rsidRPr="00C757B5"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7FEA" w14:textId="77777777" w:rsidR="00341BA1" w:rsidRDefault="00341BA1">
      <w:r>
        <w:separator/>
      </w:r>
    </w:p>
  </w:endnote>
  <w:endnote w:type="continuationSeparator" w:id="0">
    <w:p w14:paraId="2C05A4D4" w14:textId="77777777" w:rsidR="00341BA1" w:rsidRDefault="0034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Trajan">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6772"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5771B8" w:rsidRDefault="005771B8"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w:t>
    </w:r>
    <w:r w:rsidR="00AD57B7">
      <w:rPr>
        <w:rFonts w:ascii="Garamond" w:hAnsi="Garamond"/>
        <w:caps/>
        <w:sz w:val="16"/>
        <w:szCs w:val="16"/>
      </w:rPr>
      <w:t>TRATIVA C/O AZIENDA OSPEDALIERO-</w:t>
    </w:r>
    <w:r>
      <w:rPr>
        <w:rFonts w:ascii="Garamond" w:hAnsi="Garamond"/>
        <w:caps/>
        <w:sz w:val="16"/>
        <w:szCs w:val="16"/>
      </w:rPr>
      <w:t>UNIVERSITARIA – POLICLINICO S. ORSOLA–MALPIGHI</w:t>
    </w:r>
  </w:p>
  <w:p w14:paraId="54FF4FE2" w14:textId="77777777" w:rsidR="00BE1C84" w:rsidRPr="00CB5C37" w:rsidRDefault="00BE1C84"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w:t>
    </w:r>
    <w:r w:rsidR="005771B8">
      <w:rPr>
        <w:rFonts w:ascii="Garamond" w:hAnsi="Garamond"/>
        <w:caps/>
        <w:sz w:val="16"/>
        <w:szCs w:val="16"/>
      </w:rPr>
      <w:t>MASSARENTI 9, PADIGLIONE 11</w:t>
    </w:r>
    <w:r w:rsidRPr="008A26FE">
      <w:rPr>
        <w:rFonts w:ascii="Garamond" w:hAnsi="Garamond"/>
        <w:caps/>
        <w:sz w:val="16"/>
        <w:szCs w:val="16"/>
      </w:rPr>
      <w:t xml:space="preserve"> </w:t>
    </w:r>
    <w:r w:rsidR="001D5749">
      <w:rPr>
        <w:rFonts w:ascii="Garamond" w:hAnsi="Garamond"/>
        <w:caps/>
        <w:sz w:val="16"/>
        <w:szCs w:val="16"/>
      </w:rPr>
      <w:t xml:space="preserve">- </w:t>
    </w:r>
    <w:r w:rsidR="001D5749" w:rsidRPr="008A26FE">
      <w:rPr>
        <w:rFonts w:ascii="Garamond" w:hAnsi="Garamond"/>
        <w:caps/>
        <w:sz w:val="16"/>
        <w:szCs w:val="16"/>
      </w:rPr>
      <w:t>401</w:t>
    </w:r>
    <w:r w:rsidR="001D5749">
      <w:rPr>
        <w:rFonts w:ascii="Garamond" w:hAnsi="Garamond"/>
        <w:caps/>
        <w:sz w:val="16"/>
        <w:szCs w:val="16"/>
      </w:rPr>
      <w:t xml:space="preserve">38 Bologna - Italia </w:t>
    </w:r>
    <w:r w:rsidR="00C05A72">
      <w:rPr>
        <w:rFonts w:ascii="Garamond" w:hAnsi="Garamond"/>
        <w:caps/>
        <w:sz w:val="16"/>
        <w:szCs w:val="16"/>
      </w:rPr>
      <w:t>–</w:t>
    </w:r>
    <w:r w:rsidRPr="008A26FE">
      <w:rPr>
        <w:rFonts w:ascii="Garamond" w:hAnsi="Garamond"/>
        <w:caps/>
        <w:sz w:val="16"/>
        <w:szCs w:val="16"/>
      </w:rPr>
      <w:t xml:space="preserve"> </w:t>
    </w:r>
    <w:hyperlink r:id="rId1" w:history="1">
      <w:r w:rsidR="00C05A72" w:rsidRPr="0017512C">
        <w:rPr>
          <w:rStyle w:val="Collegamentoipertestuale"/>
          <w:rFonts w:ascii="Garamond" w:hAnsi="Garamond"/>
          <w:sz w:val="20"/>
          <w:szCs w:val="20"/>
        </w:rPr>
        <w:t>dimec.dipartimento@pec.unibo.it</w:t>
      </w:r>
    </w:hyperlink>
    <w:r w:rsidR="00C05A72" w:rsidRPr="00C05A72">
      <w:rPr>
        <w:rFonts w:ascii="Garamond" w:hAnsi="Garamond"/>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A8B2" w14:textId="77777777" w:rsidR="00341BA1" w:rsidRDefault="00341BA1">
      <w:r>
        <w:separator/>
      </w:r>
    </w:p>
  </w:footnote>
  <w:footnote w:type="continuationSeparator" w:id="0">
    <w:p w14:paraId="5EFB18BA" w14:textId="77777777" w:rsidR="00341BA1" w:rsidRDefault="0034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A407" w14:textId="682A051D" w:rsidR="00BE1C84" w:rsidRDefault="0056632E"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0"/>
  </w:num>
  <w:num w:numId="4">
    <w:abstractNumId w:val="6"/>
  </w:num>
  <w:num w:numId="5">
    <w:abstractNumId w:val="1"/>
  </w:num>
  <w:num w:numId="6">
    <w:abstractNumId w:val="5"/>
  </w:num>
  <w:num w:numId="7">
    <w:abstractNumId w:val="7"/>
  </w:num>
  <w:num w:numId="8">
    <w:abstractNumId w:val="2"/>
  </w:num>
  <w:num w:numId="9">
    <w:abstractNumId w:val="11"/>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0847"/>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4F9D"/>
    <w:rsid w:val="00056F8C"/>
    <w:rsid w:val="0005744F"/>
    <w:rsid w:val="00060F13"/>
    <w:rsid w:val="0006159F"/>
    <w:rsid w:val="000627C5"/>
    <w:rsid w:val="00062CD8"/>
    <w:rsid w:val="000638A4"/>
    <w:rsid w:val="00063CCE"/>
    <w:rsid w:val="0006451B"/>
    <w:rsid w:val="0006495D"/>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925"/>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6DF9"/>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0A9"/>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2F9D"/>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509"/>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57DC"/>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2C"/>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226"/>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44B"/>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6DF"/>
    <w:rsid w:val="00233968"/>
    <w:rsid w:val="00234849"/>
    <w:rsid w:val="00234B4A"/>
    <w:rsid w:val="00234E84"/>
    <w:rsid w:val="002352A9"/>
    <w:rsid w:val="00235C9F"/>
    <w:rsid w:val="00237319"/>
    <w:rsid w:val="00237817"/>
    <w:rsid w:val="002400F7"/>
    <w:rsid w:val="002416F4"/>
    <w:rsid w:val="00241882"/>
    <w:rsid w:val="00244198"/>
    <w:rsid w:val="002452C6"/>
    <w:rsid w:val="00245AB4"/>
    <w:rsid w:val="002463E2"/>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0973"/>
    <w:rsid w:val="002719FC"/>
    <w:rsid w:val="00271FC8"/>
    <w:rsid w:val="0027213F"/>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7ABC"/>
    <w:rsid w:val="002D7AE1"/>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E6D"/>
    <w:rsid w:val="002F5C4C"/>
    <w:rsid w:val="002F6720"/>
    <w:rsid w:val="002F68AB"/>
    <w:rsid w:val="002F6DD5"/>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1BA1"/>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6CC1"/>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4D3"/>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4FD4"/>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0601"/>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3DB"/>
    <w:rsid w:val="005629F6"/>
    <w:rsid w:val="00562C38"/>
    <w:rsid w:val="00563191"/>
    <w:rsid w:val="00563311"/>
    <w:rsid w:val="00563718"/>
    <w:rsid w:val="00563ADB"/>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054"/>
    <w:rsid w:val="00622814"/>
    <w:rsid w:val="00624277"/>
    <w:rsid w:val="00624BE7"/>
    <w:rsid w:val="00626B73"/>
    <w:rsid w:val="00626BDF"/>
    <w:rsid w:val="00626DA1"/>
    <w:rsid w:val="0062701B"/>
    <w:rsid w:val="00627682"/>
    <w:rsid w:val="0062772E"/>
    <w:rsid w:val="00630CE5"/>
    <w:rsid w:val="00631A71"/>
    <w:rsid w:val="00633B3E"/>
    <w:rsid w:val="00634541"/>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137"/>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5DF"/>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B6DD1"/>
    <w:rsid w:val="007C016D"/>
    <w:rsid w:val="007C0E6D"/>
    <w:rsid w:val="007C0E7B"/>
    <w:rsid w:val="007C26B9"/>
    <w:rsid w:val="007C2F59"/>
    <w:rsid w:val="007C30A4"/>
    <w:rsid w:val="007C31DF"/>
    <w:rsid w:val="007C33A9"/>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145"/>
    <w:rsid w:val="00813200"/>
    <w:rsid w:val="00813AE9"/>
    <w:rsid w:val="00814485"/>
    <w:rsid w:val="00814D29"/>
    <w:rsid w:val="00815A49"/>
    <w:rsid w:val="00815B09"/>
    <w:rsid w:val="00815FE2"/>
    <w:rsid w:val="008163BB"/>
    <w:rsid w:val="00816658"/>
    <w:rsid w:val="00817402"/>
    <w:rsid w:val="008178D4"/>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00F4"/>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3CBE"/>
    <w:rsid w:val="008A4498"/>
    <w:rsid w:val="008A44BC"/>
    <w:rsid w:val="008A45D1"/>
    <w:rsid w:val="008A4CBD"/>
    <w:rsid w:val="008A51A6"/>
    <w:rsid w:val="008A65DF"/>
    <w:rsid w:val="008A7264"/>
    <w:rsid w:val="008B013F"/>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3F29"/>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AA4"/>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C7D62"/>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8CE"/>
    <w:rsid w:val="009F29B3"/>
    <w:rsid w:val="009F3054"/>
    <w:rsid w:val="009F3951"/>
    <w:rsid w:val="009F4052"/>
    <w:rsid w:val="009F4DF5"/>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250E"/>
    <w:rsid w:val="00A130A4"/>
    <w:rsid w:val="00A13845"/>
    <w:rsid w:val="00A1425E"/>
    <w:rsid w:val="00A14913"/>
    <w:rsid w:val="00A154F8"/>
    <w:rsid w:val="00A17B89"/>
    <w:rsid w:val="00A201C2"/>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882"/>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BCA"/>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841"/>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740"/>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29B"/>
    <w:rsid w:val="00BC0494"/>
    <w:rsid w:val="00BC0565"/>
    <w:rsid w:val="00BC0B60"/>
    <w:rsid w:val="00BC0E72"/>
    <w:rsid w:val="00BC14AE"/>
    <w:rsid w:val="00BC19DE"/>
    <w:rsid w:val="00BC2E7F"/>
    <w:rsid w:val="00BC405F"/>
    <w:rsid w:val="00BC53C2"/>
    <w:rsid w:val="00BC5B25"/>
    <w:rsid w:val="00BC5DDD"/>
    <w:rsid w:val="00BC6618"/>
    <w:rsid w:val="00BC6F58"/>
    <w:rsid w:val="00BD16A3"/>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245"/>
    <w:rsid w:val="00BF38D1"/>
    <w:rsid w:val="00BF3D32"/>
    <w:rsid w:val="00BF45D2"/>
    <w:rsid w:val="00BF4E86"/>
    <w:rsid w:val="00BF507E"/>
    <w:rsid w:val="00BF5DE9"/>
    <w:rsid w:val="00BF5FA5"/>
    <w:rsid w:val="00BF69E4"/>
    <w:rsid w:val="00BF7151"/>
    <w:rsid w:val="00BF76C9"/>
    <w:rsid w:val="00BF7F46"/>
    <w:rsid w:val="00C004BE"/>
    <w:rsid w:val="00C0090D"/>
    <w:rsid w:val="00C01923"/>
    <w:rsid w:val="00C02786"/>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212"/>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62A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67B"/>
    <w:rsid w:val="00D17218"/>
    <w:rsid w:val="00D17438"/>
    <w:rsid w:val="00D20598"/>
    <w:rsid w:val="00D20B0D"/>
    <w:rsid w:val="00D22924"/>
    <w:rsid w:val="00D22B88"/>
    <w:rsid w:val="00D2301B"/>
    <w:rsid w:val="00D240F0"/>
    <w:rsid w:val="00D25FAE"/>
    <w:rsid w:val="00D26DF5"/>
    <w:rsid w:val="00D27FFB"/>
    <w:rsid w:val="00D30F45"/>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66A"/>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3F4A"/>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303"/>
    <w:rsid w:val="00DD0CBD"/>
    <w:rsid w:val="00DD1059"/>
    <w:rsid w:val="00DD1095"/>
    <w:rsid w:val="00DD1290"/>
    <w:rsid w:val="00DD1315"/>
    <w:rsid w:val="00DD1471"/>
    <w:rsid w:val="00DD1EE9"/>
    <w:rsid w:val="00DD21E7"/>
    <w:rsid w:val="00DD241E"/>
    <w:rsid w:val="00DD247E"/>
    <w:rsid w:val="00DD2708"/>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8CB"/>
    <w:rsid w:val="00E30E79"/>
    <w:rsid w:val="00E30EC7"/>
    <w:rsid w:val="00E3228F"/>
    <w:rsid w:val="00E32940"/>
    <w:rsid w:val="00E34258"/>
    <w:rsid w:val="00E34312"/>
    <w:rsid w:val="00E348F7"/>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48A6"/>
    <w:rsid w:val="00E64A23"/>
    <w:rsid w:val="00E64A60"/>
    <w:rsid w:val="00E64B18"/>
    <w:rsid w:val="00E65989"/>
    <w:rsid w:val="00E65DF5"/>
    <w:rsid w:val="00E66A43"/>
    <w:rsid w:val="00E67067"/>
    <w:rsid w:val="00E708FA"/>
    <w:rsid w:val="00E70C2C"/>
    <w:rsid w:val="00E70D9C"/>
    <w:rsid w:val="00E72890"/>
    <w:rsid w:val="00E743B1"/>
    <w:rsid w:val="00E75506"/>
    <w:rsid w:val="00E766E1"/>
    <w:rsid w:val="00E76869"/>
    <w:rsid w:val="00E801C9"/>
    <w:rsid w:val="00E80F00"/>
    <w:rsid w:val="00E8112E"/>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2A5A"/>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4D9"/>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0F7"/>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864"/>
    <w:rsid w:val="00F35D59"/>
    <w:rsid w:val="00F35D9A"/>
    <w:rsid w:val="00F35E29"/>
    <w:rsid w:val="00F369FA"/>
    <w:rsid w:val="00F3797E"/>
    <w:rsid w:val="00F37E71"/>
    <w:rsid w:val="00F4074E"/>
    <w:rsid w:val="00F40D88"/>
    <w:rsid w:val="00F41277"/>
    <w:rsid w:val="00F418FB"/>
    <w:rsid w:val="00F4215F"/>
    <w:rsid w:val="00F428D7"/>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F6AFB"/>
  <w15:chartTrackingRefBased/>
  <w15:docId w15:val="{174F794B-8F89-40BD-AF86-8CD4EE3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styleId="Menzionenonrisolta">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1126">
      <w:bodyDiv w:val="1"/>
      <w:marLeft w:val="0"/>
      <w:marRight w:val="0"/>
      <w:marTop w:val="0"/>
      <w:marBottom w:val="0"/>
      <w:divBdr>
        <w:top w:val="none" w:sz="0" w:space="0" w:color="auto"/>
        <w:left w:val="none" w:sz="0" w:space="0" w:color="auto"/>
        <w:bottom w:val="none" w:sz="0" w:space="0" w:color="auto"/>
        <w:right w:val="none" w:sz="0" w:space="0" w:color="auto"/>
      </w:divBdr>
    </w:div>
    <w:div w:id="1387609836">
      <w:bodyDiv w:val="1"/>
      <w:marLeft w:val="0"/>
      <w:marRight w:val="0"/>
      <w:marTop w:val="0"/>
      <w:marBottom w:val="0"/>
      <w:divBdr>
        <w:top w:val="none" w:sz="0" w:space="0" w:color="auto"/>
        <w:left w:val="none" w:sz="0" w:space="0" w:color="auto"/>
        <w:bottom w:val="none" w:sz="0" w:space="0" w:color="auto"/>
        <w:right w:val="none" w:sz="0" w:space="0" w:color="auto"/>
      </w:divBdr>
    </w:div>
    <w:div w:id="1876428105">
      <w:bodyDiv w:val="1"/>
      <w:marLeft w:val="0"/>
      <w:marRight w:val="0"/>
      <w:marTop w:val="0"/>
      <w:marBottom w:val="0"/>
      <w:divBdr>
        <w:top w:val="none" w:sz="0" w:space="0" w:color="auto"/>
        <w:left w:val="none" w:sz="0" w:space="0" w:color="auto"/>
        <w:bottom w:val="none" w:sz="0" w:space="0" w:color="auto"/>
        <w:right w:val="none" w:sz="0" w:space="0" w:color="auto"/>
      </w:divBdr>
    </w:div>
    <w:div w:id="19479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1932</Words>
  <Characters>11015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12922</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Valentina Scocca</cp:lastModifiedBy>
  <cp:revision>3</cp:revision>
  <cp:lastPrinted>2017-02-03T09:22:00Z</cp:lastPrinted>
  <dcterms:created xsi:type="dcterms:W3CDTF">2023-04-28T10:27:00Z</dcterms:created>
  <dcterms:modified xsi:type="dcterms:W3CDTF">2023-04-28T10:34:00Z</dcterms:modified>
</cp:coreProperties>
</file>